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435" w:rsidRPr="00991018" w:rsidRDefault="00B56435" w:rsidP="00991018">
      <w:pPr>
        <w:pStyle w:val="Heading1"/>
        <w:tabs>
          <w:tab w:val="left" w:pos="3261"/>
        </w:tabs>
        <w:ind w:right="183"/>
        <w:jc w:val="right"/>
        <w:rPr>
          <w:rFonts w:ascii="Arial" w:hAnsi="Arial" w:cs="Arial"/>
          <w:b w:val="0"/>
          <w:noProof/>
          <w:color w:val="365F91" w:themeColor="accent1" w:themeShade="BF"/>
          <w:sz w:val="20"/>
          <w:szCs w:val="20"/>
          <w:lang w:eastAsia="en-GB"/>
        </w:rPr>
      </w:pPr>
      <w:r w:rsidRPr="00991018">
        <w:rPr>
          <w:rFonts w:ascii="Arial" w:hAnsi="Arial" w:cs="Arial"/>
          <w:b w:val="0"/>
          <w:noProof/>
          <w:color w:val="365F91" w:themeColor="accent1" w:themeShade="BF"/>
          <w:sz w:val="20"/>
          <w:szCs w:val="20"/>
          <w:lang w:eastAsia="en-GB"/>
        </w:rPr>
        <w:t>Ref: GJF/2017/12/09</w:t>
      </w:r>
    </w:p>
    <w:p w:rsidR="00B56435" w:rsidRPr="00B56435" w:rsidRDefault="00B56435" w:rsidP="00B56435">
      <w:pPr>
        <w:rPr>
          <w:lang w:eastAsia="en-GB"/>
        </w:rPr>
      </w:pPr>
      <w:r>
        <w:rPr>
          <w:noProof/>
          <w:lang w:eastAsia="en-GB"/>
        </w:rPr>
        <w:drawing>
          <wp:anchor distT="0" distB="0" distL="114300" distR="114300" simplePos="0" relativeHeight="251658240" behindDoc="0" locked="0" layoutInCell="1" allowOverlap="1">
            <wp:simplePos x="0" y="0"/>
            <wp:positionH relativeFrom="column">
              <wp:posOffset>4571365</wp:posOffset>
            </wp:positionH>
            <wp:positionV relativeFrom="paragraph">
              <wp:posOffset>44450</wp:posOffset>
            </wp:positionV>
            <wp:extent cx="1321435" cy="1323975"/>
            <wp:effectExtent l="19050" t="0" r="0" b="0"/>
            <wp:wrapSquare wrapText="bothSides"/>
            <wp:docPr id="3"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21435" cy="1323975"/>
                    </a:xfrm>
                    <a:prstGeom prst="rect">
                      <a:avLst/>
                    </a:prstGeom>
                    <a:noFill/>
                  </pic:spPr>
                </pic:pic>
              </a:graphicData>
            </a:graphic>
          </wp:anchor>
        </w:drawing>
      </w:r>
    </w:p>
    <w:p w:rsidR="00354084" w:rsidRPr="00D55096" w:rsidRDefault="0041727E" w:rsidP="00D55096">
      <w:pPr>
        <w:pStyle w:val="Heading1"/>
        <w:tabs>
          <w:tab w:val="left" w:pos="3261"/>
        </w:tabs>
        <w:ind w:right="183"/>
        <w:rPr>
          <w:rFonts w:ascii="Arial" w:hAnsi="Arial" w:cs="Arial"/>
          <w:sz w:val="24"/>
        </w:rPr>
      </w:pPr>
      <w:r>
        <w:rPr>
          <w:rFonts w:ascii="Arial" w:hAnsi="Arial" w:cs="Arial"/>
          <w:noProof/>
          <w:sz w:val="24"/>
          <w:lang w:eastAsia="en-GB"/>
        </w:rPr>
        <w:t xml:space="preserve">Board </w:t>
      </w:r>
      <w:r w:rsidR="00D55096" w:rsidRPr="00D55096">
        <w:rPr>
          <w:rFonts w:ascii="Arial" w:hAnsi="Arial" w:cs="Arial"/>
          <w:noProof/>
          <w:sz w:val="24"/>
          <w:lang w:eastAsia="en-GB"/>
        </w:rPr>
        <w:t>Meeting</w:t>
      </w:r>
      <w:r w:rsidR="00D55096">
        <w:rPr>
          <w:rFonts w:ascii="Arial" w:hAnsi="Arial" w:cs="Arial"/>
          <w:noProof/>
          <w:sz w:val="24"/>
          <w:lang w:eastAsia="en-GB"/>
        </w:rPr>
        <w:t>:</w:t>
      </w:r>
      <w:r w:rsidR="00354084">
        <w:rPr>
          <w:rFonts w:ascii="Arial" w:hAnsi="Arial" w:cs="Arial"/>
          <w:sz w:val="24"/>
        </w:rPr>
        <w:t xml:space="preserve"> </w:t>
      </w:r>
      <w:r w:rsidR="00693B97">
        <w:rPr>
          <w:rFonts w:ascii="Arial" w:hAnsi="Arial" w:cs="Arial"/>
          <w:sz w:val="24"/>
        </w:rPr>
        <w:tab/>
      </w:r>
      <w:r>
        <w:rPr>
          <w:rFonts w:ascii="Arial" w:hAnsi="Arial" w:cs="Arial"/>
          <w:b w:val="0"/>
          <w:sz w:val="24"/>
        </w:rPr>
        <w:t>7</w:t>
      </w:r>
      <w:r w:rsidR="00354084" w:rsidRPr="004D00F2">
        <w:rPr>
          <w:rFonts w:ascii="Arial" w:hAnsi="Arial" w:cs="Arial"/>
          <w:b w:val="0"/>
          <w:sz w:val="24"/>
        </w:rPr>
        <w:t xml:space="preserve"> </w:t>
      </w:r>
      <w:r>
        <w:rPr>
          <w:rFonts w:ascii="Arial" w:hAnsi="Arial" w:cs="Arial"/>
          <w:b w:val="0"/>
          <w:sz w:val="24"/>
        </w:rPr>
        <w:t>Dec</w:t>
      </w:r>
      <w:r w:rsidR="00354084">
        <w:rPr>
          <w:rFonts w:ascii="Arial" w:hAnsi="Arial" w:cs="Arial"/>
          <w:b w:val="0"/>
          <w:sz w:val="24"/>
        </w:rPr>
        <w:t>e</w:t>
      </w:r>
      <w:r w:rsidR="00354084" w:rsidRPr="004D00F2">
        <w:rPr>
          <w:rFonts w:ascii="Arial" w:hAnsi="Arial" w:cs="Arial"/>
          <w:b w:val="0"/>
          <w:sz w:val="24"/>
        </w:rPr>
        <w:t>mber 201</w:t>
      </w:r>
      <w:r w:rsidR="00D55096">
        <w:rPr>
          <w:rFonts w:ascii="Arial" w:hAnsi="Arial" w:cs="Arial"/>
          <w:b w:val="0"/>
          <w:sz w:val="24"/>
        </w:rPr>
        <w:t>7</w:t>
      </w:r>
      <w:r w:rsidR="00354084">
        <w:rPr>
          <w:rFonts w:ascii="Arial" w:hAnsi="Arial" w:cs="Arial"/>
          <w:sz w:val="24"/>
        </w:rPr>
        <w:tab/>
      </w:r>
      <w:r w:rsidR="00354084" w:rsidRPr="001175E5">
        <w:rPr>
          <w:rFonts w:ascii="Arial" w:hAnsi="Arial" w:cs="Arial"/>
          <w:b w:val="0"/>
          <w:sz w:val="24"/>
        </w:rPr>
        <w:tab/>
      </w:r>
      <w:r w:rsidR="00354084">
        <w:rPr>
          <w:rFonts w:ascii="Arial" w:hAnsi="Arial" w:cs="Arial"/>
          <w:b w:val="0"/>
          <w:sz w:val="24"/>
        </w:rPr>
        <w:tab/>
      </w:r>
    </w:p>
    <w:p w:rsidR="00354084" w:rsidRPr="00682309" w:rsidRDefault="00354084" w:rsidP="000F4B4A">
      <w:pPr>
        <w:tabs>
          <w:tab w:val="left" w:pos="3261"/>
        </w:tabs>
        <w:ind w:left="3255" w:right="183" w:hanging="3255"/>
        <w:rPr>
          <w:rFonts w:ascii="Arial" w:hAnsi="Arial" w:cs="Arial"/>
        </w:rPr>
      </w:pPr>
      <w:r w:rsidRPr="00682309">
        <w:rPr>
          <w:rFonts w:ascii="Arial" w:hAnsi="Arial" w:cs="Arial"/>
          <w:b/>
          <w:bCs/>
        </w:rPr>
        <w:t xml:space="preserve">Subject: </w:t>
      </w:r>
      <w:r w:rsidRPr="00682309">
        <w:rPr>
          <w:rFonts w:ascii="Arial" w:hAnsi="Arial" w:cs="Arial"/>
          <w:b/>
          <w:bCs/>
        </w:rPr>
        <w:tab/>
      </w:r>
      <w:r>
        <w:rPr>
          <w:rFonts w:ascii="Arial" w:hAnsi="Arial" w:cs="Arial"/>
          <w:b/>
          <w:bCs/>
        </w:rPr>
        <w:tab/>
      </w:r>
      <w:r w:rsidRPr="00037BDB">
        <w:rPr>
          <w:rFonts w:ascii="Arial" w:hAnsi="Arial" w:cs="Arial"/>
          <w:bCs/>
        </w:rPr>
        <w:t xml:space="preserve">Finance Report – </w:t>
      </w:r>
      <w:r w:rsidR="00B051A3">
        <w:rPr>
          <w:rFonts w:ascii="Arial" w:hAnsi="Arial" w:cs="Arial"/>
          <w:bCs/>
        </w:rPr>
        <w:t>Octo</w:t>
      </w:r>
      <w:r>
        <w:rPr>
          <w:rFonts w:ascii="Arial" w:hAnsi="Arial" w:cs="Arial"/>
          <w:bCs/>
        </w:rPr>
        <w:t>ber 2017</w:t>
      </w:r>
    </w:p>
    <w:p w:rsidR="00354084" w:rsidRPr="00682309" w:rsidRDefault="00354084" w:rsidP="00037BDB">
      <w:pPr>
        <w:ind w:right="183"/>
        <w:rPr>
          <w:rFonts w:ascii="Arial" w:hAnsi="Arial" w:cs="Arial"/>
          <w:b/>
          <w:bCs/>
        </w:rPr>
      </w:pPr>
      <w:r w:rsidRPr="00682309">
        <w:rPr>
          <w:rFonts w:ascii="Arial" w:hAnsi="Arial" w:cs="Arial"/>
          <w:b/>
          <w:bCs/>
        </w:rPr>
        <w:tab/>
      </w:r>
    </w:p>
    <w:p w:rsidR="00354084" w:rsidRPr="00682309" w:rsidRDefault="00354084" w:rsidP="00B56435">
      <w:pPr>
        <w:tabs>
          <w:tab w:val="left" w:pos="3261"/>
        </w:tabs>
        <w:ind w:left="3255" w:right="183" w:hanging="3255"/>
        <w:rPr>
          <w:rFonts w:ascii="Arial" w:hAnsi="Arial" w:cs="Arial"/>
        </w:rPr>
      </w:pPr>
      <w:r w:rsidRPr="00682309">
        <w:rPr>
          <w:rFonts w:ascii="Arial" w:hAnsi="Arial" w:cs="Arial"/>
          <w:b/>
          <w:bCs/>
        </w:rPr>
        <w:t>Recommendation:</w:t>
      </w:r>
      <w:r w:rsidRPr="00682309">
        <w:rPr>
          <w:rFonts w:ascii="Arial" w:hAnsi="Arial" w:cs="Arial"/>
          <w:b/>
          <w:bCs/>
        </w:rPr>
        <w:tab/>
      </w:r>
      <w:r w:rsidR="00B56435" w:rsidRPr="00B56435">
        <w:rPr>
          <w:rFonts w:ascii="Arial" w:hAnsi="Arial" w:cs="Arial"/>
          <w:bCs/>
        </w:rPr>
        <w:t>Board M</w:t>
      </w:r>
      <w:r w:rsidRPr="00FB7212">
        <w:rPr>
          <w:rFonts w:ascii="Arial" w:hAnsi="Arial" w:cs="Arial"/>
        </w:rPr>
        <w:t xml:space="preserve">embers are asked to </w:t>
      </w:r>
      <w:r w:rsidR="00B56435">
        <w:rPr>
          <w:rFonts w:ascii="Arial" w:hAnsi="Arial" w:cs="Arial"/>
        </w:rPr>
        <w:t>discuss and note the r</w:t>
      </w:r>
      <w:r w:rsidRPr="00FB7212">
        <w:rPr>
          <w:rFonts w:ascii="Arial" w:hAnsi="Arial" w:cs="Arial"/>
        </w:rPr>
        <w:t>eport</w:t>
      </w:r>
      <w:r>
        <w:rPr>
          <w:rFonts w:ascii="Arial" w:hAnsi="Arial" w:cs="Arial"/>
        </w:rPr>
        <w:t xml:space="preserve"> </w:t>
      </w:r>
      <w:r w:rsidRPr="00FB7212">
        <w:rPr>
          <w:rFonts w:ascii="Arial" w:hAnsi="Arial" w:cs="Arial"/>
        </w:rPr>
        <w:t xml:space="preserve">for the period to </w:t>
      </w:r>
      <w:r w:rsidR="00B051A3">
        <w:rPr>
          <w:rFonts w:ascii="Arial" w:hAnsi="Arial" w:cs="Arial"/>
        </w:rPr>
        <w:t>31 Octo</w:t>
      </w:r>
      <w:r>
        <w:rPr>
          <w:rFonts w:ascii="Arial" w:hAnsi="Arial" w:cs="Arial"/>
        </w:rPr>
        <w:t>ber 2017</w:t>
      </w:r>
    </w:p>
    <w:p w:rsidR="00354084" w:rsidRPr="00682309" w:rsidRDefault="00354084" w:rsidP="00037BDB">
      <w:pPr>
        <w:ind w:right="-483"/>
        <w:rPr>
          <w:rFonts w:ascii="Arial" w:hAnsi="Arial" w:cs="Arial"/>
          <w:b/>
          <w:bCs/>
        </w:rPr>
      </w:pPr>
      <w:r>
        <w:rPr>
          <w:rFonts w:ascii="Arial" w:hAnsi="Arial" w:cs="Arial"/>
          <w:b/>
          <w:bCs/>
        </w:rPr>
        <w:t>__________________________________________________</w:t>
      </w:r>
      <w:r w:rsidR="00B56435">
        <w:rPr>
          <w:rFonts w:ascii="Arial" w:hAnsi="Arial" w:cs="Arial"/>
          <w:b/>
          <w:bCs/>
        </w:rPr>
        <w:t>___________________</w:t>
      </w:r>
    </w:p>
    <w:p w:rsidR="00354084" w:rsidRPr="00FB7212" w:rsidRDefault="00354084">
      <w:pPr>
        <w:pStyle w:val="BodyTextIndent2"/>
        <w:ind w:left="0"/>
        <w:rPr>
          <w:rFonts w:ascii="Arial" w:hAnsi="Arial" w:cs="Arial"/>
          <w:sz w:val="16"/>
        </w:rPr>
      </w:pPr>
    </w:p>
    <w:p w:rsidR="00354084" w:rsidRDefault="00354084" w:rsidP="00F77BF0">
      <w:pPr>
        <w:pStyle w:val="Heading4"/>
        <w:numPr>
          <w:ilvl w:val="0"/>
          <w:numId w:val="3"/>
        </w:numPr>
        <w:rPr>
          <w:rFonts w:ascii="Arial" w:hAnsi="Arial" w:cs="Arial"/>
        </w:rPr>
      </w:pPr>
      <w:r w:rsidRPr="00FB7212">
        <w:rPr>
          <w:rFonts w:ascii="Arial" w:hAnsi="Arial" w:cs="Arial"/>
        </w:rPr>
        <w:t>Introduction/Key Issues</w:t>
      </w:r>
    </w:p>
    <w:p w:rsidR="00354084" w:rsidRDefault="00354084" w:rsidP="007A3B40">
      <w:pPr>
        <w:pStyle w:val="BodyTextIndent2"/>
        <w:ind w:left="0"/>
        <w:jc w:val="left"/>
        <w:rPr>
          <w:rFonts w:ascii="Arial" w:hAnsi="Arial" w:cs="Arial"/>
        </w:rPr>
      </w:pPr>
    </w:p>
    <w:p w:rsidR="00354084" w:rsidRPr="002E3101" w:rsidRDefault="00354084" w:rsidP="00E66A89">
      <w:pPr>
        <w:pStyle w:val="BodyTextIndent2"/>
        <w:ind w:left="360"/>
        <w:jc w:val="left"/>
        <w:rPr>
          <w:rFonts w:ascii="Arial" w:hAnsi="Arial" w:cs="Arial"/>
        </w:rPr>
      </w:pPr>
      <w:r w:rsidRPr="002E3101">
        <w:rPr>
          <w:rFonts w:ascii="Arial" w:hAnsi="Arial" w:cs="Arial"/>
        </w:rPr>
        <w:t>The year-to-date (YTD) results show a total surplus of £</w:t>
      </w:r>
      <w:r w:rsidR="006C162F">
        <w:rPr>
          <w:rFonts w:ascii="Arial" w:hAnsi="Arial" w:cs="Arial"/>
        </w:rPr>
        <w:t>152</w:t>
      </w:r>
      <w:r w:rsidRPr="002E3101">
        <w:rPr>
          <w:rFonts w:ascii="Arial" w:hAnsi="Arial" w:cs="Arial"/>
        </w:rPr>
        <w:t xml:space="preserve">k. This includes both core and non-core expenditure, this is in line with the forecast in the finance plan. This </w:t>
      </w:r>
      <w:r>
        <w:rPr>
          <w:rFonts w:ascii="Arial" w:hAnsi="Arial" w:cs="Arial"/>
        </w:rPr>
        <w:t xml:space="preserve">planned </w:t>
      </w:r>
      <w:r w:rsidRPr="002E3101">
        <w:rPr>
          <w:rFonts w:ascii="Arial" w:hAnsi="Arial" w:cs="Arial"/>
        </w:rPr>
        <w:t>surplus is made of the following:</w:t>
      </w:r>
    </w:p>
    <w:p w:rsidR="00354084" w:rsidRPr="002E3101" w:rsidRDefault="00354084" w:rsidP="00255F24">
      <w:pPr>
        <w:pStyle w:val="BodyTextIndent2"/>
        <w:ind w:left="0"/>
        <w:jc w:val="left"/>
        <w:rPr>
          <w:rFonts w:ascii="Arial" w:hAnsi="Arial" w:cs="Arial"/>
        </w:rPr>
      </w:pPr>
    </w:p>
    <w:p w:rsidR="00354084" w:rsidRPr="002E3101" w:rsidRDefault="006C162F" w:rsidP="005360F9">
      <w:pPr>
        <w:pStyle w:val="BodyTextIndent2"/>
        <w:numPr>
          <w:ilvl w:val="0"/>
          <w:numId w:val="4"/>
        </w:numPr>
        <w:jc w:val="left"/>
        <w:rPr>
          <w:rFonts w:ascii="Arial" w:hAnsi="Arial" w:cs="Arial"/>
        </w:rPr>
      </w:pPr>
      <w:r>
        <w:rPr>
          <w:rFonts w:ascii="Arial" w:hAnsi="Arial" w:cs="Arial"/>
        </w:rPr>
        <w:t>Income – behind</w:t>
      </w:r>
      <w:r w:rsidR="00354084" w:rsidRPr="002E3101">
        <w:rPr>
          <w:rFonts w:ascii="Arial" w:hAnsi="Arial" w:cs="Arial"/>
        </w:rPr>
        <w:t xml:space="preserve"> target by </w:t>
      </w:r>
      <w:r>
        <w:rPr>
          <w:rFonts w:ascii="Arial" w:hAnsi="Arial" w:cs="Arial"/>
        </w:rPr>
        <w:t>(</w:t>
      </w:r>
      <w:r w:rsidR="00354084" w:rsidRPr="002E3101">
        <w:rPr>
          <w:rFonts w:ascii="Arial" w:hAnsi="Arial" w:cs="Arial"/>
        </w:rPr>
        <w:t>£</w:t>
      </w:r>
      <w:r>
        <w:rPr>
          <w:rFonts w:ascii="Arial" w:hAnsi="Arial" w:cs="Arial"/>
        </w:rPr>
        <w:t>31</w:t>
      </w:r>
      <w:r w:rsidR="00354084" w:rsidRPr="002E3101">
        <w:rPr>
          <w:rFonts w:ascii="Arial" w:hAnsi="Arial" w:cs="Arial"/>
        </w:rPr>
        <w:t>k</w:t>
      </w:r>
      <w:r>
        <w:rPr>
          <w:rFonts w:ascii="Arial" w:hAnsi="Arial" w:cs="Arial"/>
        </w:rPr>
        <w:t>)</w:t>
      </w:r>
      <w:r w:rsidR="00354084" w:rsidRPr="002E3101">
        <w:rPr>
          <w:rFonts w:ascii="Arial" w:hAnsi="Arial" w:cs="Arial"/>
        </w:rPr>
        <w:t xml:space="preserve"> YTD;</w:t>
      </w:r>
    </w:p>
    <w:p w:rsidR="00354084" w:rsidRPr="002E3101" w:rsidRDefault="00354084" w:rsidP="005360F9">
      <w:pPr>
        <w:pStyle w:val="BodyTextIndent2"/>
        <w:numPr>
          <w:ilvl w:val="0"/>
          <w:numId w:val="4"/>
        </w:numPr>
        <w:jc w:val="left"/>
        <w:rPr>
          <w:rFonts w:ascii="Arial" w:hAnsi="Arial" w:cs="Arial"/>
        </w:rPr>
      </w:pPr>
      <w:r w:rsidRPr="002E3101">
        <w:rPr>
          <w:rFonts w:ascii="Arial" w:hAnsi="Arial" w:cs="Arial"/>
        </w:rPr>
        <w:t xml:space="preserve">Core Expenditure – </w:t>
      </w:r>
      <w:r w:rsidR="006C162F">
        <w:rPr>
          <w:rFonts w:ascii="Arial" w:hAnsi="Arial" w:cs="Arial"/>
        </w:rPr>
        <w:t>und</w:t>
      </w:r>
      <w:r w:rsidRPr="002E3101">
        <w:rPr>
          <w:rFonts w:ascii="Arial" w:hAnsi="Arial" w:cs="Arial"/>
        </w:rPr>
        <w:t>erspend of £</w:t>
      </w:r>
      <w:r w:rsidR="006C162F">
        <w:rPr>
          <w:rFonts w:ascii="Arial" w:hAnsi="Arial" w:cs="Arial"/>
        </w:rPr>
        <w:t>191</w:t>
      </w:r>
      <w:r w:rsidRPr="002E3101">
        <w:rPr>
          <w:rFonts w:ascii="Arial" w:hAnsi="Arial" w:cs="Arial"/>
        </w:rPr>
        <w:t>k YTD; and</w:t>
      </w:r>
    </w:p>
    <w:p w:rsidR="00354084" w:rsidRPr="002E3101" w:rsidRDefault="00354084" w:rsidP="005360F9">
      <w:pPr>
        <w:pStyle w:val="BodyTextIndent2"/>
        <w:numPr>
          <w:ilvl w:val="0"/>
          <w:numId w:val="4"/>
        </w:numPr>
        <w:jc w:val="left"/>
        <w:rPr>
          <w:rFonts w:ascii="Arial" w:hAnsi="Arial" w:cs="Arial"/>
        </w:rPr>
      </w:pPr>
      <w:r w:rsidRPr="002E3101">
        <w:rPr>
          <w:rFonts w:ascii="Arial" w:hAnsi="Arial" w:cs="Arial"/>
        </w:rPr>
        <w:t xml:space="preserve">Non-core Expenditure – overspend of </w:t>
      </w:r>
      <w:r w:rsidR="006C162F">
        <w:rPr>
          <w:rFonts w:ascii="Arial" w:hAnsi="Arial" w:cs="Arial"/>
        </w:rPr>
        <w:t>(£8</w:t>
      </w:r>
      <w:r w:rsidRPr="002E3101">
        <w:rPr>
          <w:rFonts w:ascii="Arial" w:hAnsi="Arial" w:cs="Arial"/>
        </w:rPr>
        <w:t>k</w:t>
      </w:r>
      <w:r w:rsidR="006C162F">
        <w:rPr>
          <w:rFonts w:ascii="Arial" w:hAnsi="Arial" w:cs="Arial"/>
        </w:rPr>
        <w:t>)</w:t>
      </w:r>
      <w:r w:rsidRPr="002E3101">
        <w:rPr>
          <w:rFonts w:ascii="Arial" w:hAnsi="Arial" w:cs="Arial"/>
        </w:rPr>
        <w:t xml:space="preserve"> YTD.</w:t>
      </w:r>
    </w:p>
    <w:p w:rsidR="00354084" w:rsidRPr="002E3101" w:rsidRDefault="00354084" w:rsidP="005360F9">
      <w:pPr>
        <w:pStyle w:val="BodyTextIndent2"/>
        <w:ind w:left="0"/>
        <w:jc w:val="left"/>
        <w:rPr>
          <w:rFonts w:ascii="Arial" w:hAnsi="Arial" w:cs="Arial"/>
        </w:rPr>
      </w:pPr>
    </w:p>
    <w:p w:rsidR="00354084" w:rsidRDefault="00354084" w:rsidP="005360F9">
      <w:pPr>
        <w:pStyle w:val="BodyTextIndent2"/>
        <w:ind w:left="360"/>
        <w:jc w:val="left"/>
        <w:rPr>
          <w:rFonts w:ascii="Arial" w:hAnsi="Arial" w:cs="Arial"/>
        </w:rPr>
      </w:pPr>
      <w:r w:rsidRPr="002E3101">
        <w:rPr>
          <w:rFonts w:ascii="Arial" w:hAnsi="Arial" w:cs="Arial"/>
        </w:rPr>
        <w:t xml:space="preserve">The summary income and expenditure is included at appendix one. </w:t>
      </w:r>
      <w:r>
        <w:rPr>
          <w:rFonts w:ascii="Arial" w:hAnsi="Arial" w:cs="Arial"/>
        </w:rPr>
        <w:t>The key points in our income and expenditure to highlight are detailed below (efficiency savings</w:t>
      </w:r>
      <w:r w:rsidR="00B56435">
        <w:rPr>
          <w:rFonts w:ascii="Arial" w:hAnsi="Arial" w:cs="Arial"/>
        </w:rPr>
        <w:t xml:space="preserve"> are discussed in section five).</w:t>
      </w:r>
    </w:p>
    <w:p w:rsidR="00354084" w:rsidRDefault="00354084" w:rsidP="005360F9">
      <w:pPr>
        <w:pStyle w:val="BodyTextIndent2"/>
        <w:ind w:left="360"/>
        <w:jc w:val="left"/>
        <w:rPr>
          <w:rFonts w:ascii="Arial" w:hAnsi="Arial" w:cs="Arial"/>
        </w:rPr>
      </w:pPr>
    </w:p>
    <w:p w:rsidR="00354084" w:rsidRPr="00B56435" w:rsidRDefault="00354084" w:rsidP="005360F9">
      <w:pPr>
        <w:pStyle w:val="BodyTextIndent2"/>
        <w:ind w:left="360"/>
        <w:jc w:val="left"/>
        <w:rPr>
          <w:rFonts w:ascii="Arial" w:hAnsi="Arial" w:cs="Arial"/>
          <w:b/>
        </w:rPr>
      </w:pPr>
      <w:r w:rsidRPr="00B56435">
        <w:rPr>
          <w:rFonts w:ascii="Arial" w:hAnsi="Arial" w:cs="Arial"/>
          <w:b/>
        </w:rPr>
        <w:t>Income</w:t>
      </w:r>
    </w:p>
    <w:p w:rsidR="002E6C31" w:rsidRDefault="002E6C31" w:rsidP="005360F9">
      <w:pPr>
        <w:pStyle w:val="BodyTextIndent2"/>
        <w:ind w:left="360"/>
        <w:jc w:val="left"/>
        <w:rPr>
          <w:rFonts w:ascii="Arial" w:hAnsi="Arial" w:cs="Arial"/>
          <w:u w:val="single"/>
        </w:rPr>
      </w:pPr>
    </w:p>
    <w:p w:rsidR="00354084" w:rsidRPr="00734FEB" w:rsidRDefault="00354084" w:rsidP="00734FEB">
      <w:pPr>
        <w:pStyle w:val="BodyTextIndent2"/>
        <w:numPr>
          <w:ilvl w:val="0"/>
          <w:numId w:val="4"/>
        </w:numPr>
        <w:jc w:val="left"/>
        <w:rPr>
          <w:rFonts w:ascii="Arial" w:hAnsi="Arial" w:cs="Arial"/>
        </w:rPr>
      </w:pPr>
      <w:r>
        <w:rPr>
          <w:rFonts w:ascii="Arial" w:hAnsi="Arial" w:cs="Arial"/>
        </w:rPr>
        <w:t xml:space="preserve">This is </w:t>
      </w:r>
      <w:r w:rsidR="001764A8">
        <w:rPr>
          <w:rFonts w:ascii="Arial" w:hAnsi="Arial" w:cs="Arial"/>
        </w:rPr>
        <w:t>showing a</w:t>
      </w:r>
      <w:r w:rsidR="006C162F">
        <w:rPr>
          <w:rFonts w:ascii="Arial" w:hAnsi="Arial" w:cs="Arial"/>
        </w:rPr>
        <w:t xml:space="preserve"> small reduced</w:t>
      </w:r>
      <w:r w:rsidRPr="00DE2301">
        <w:rPr>
          <w:rFonts w:ascii="Arial" w:hAnsi="Arial" w:cs="Arial"/>
        </w:rPr>
        <w:t xml:space="preserve"> performance against plan</w:t>
      </w:r>
      <w:r>
        <w:rPr>
          <w:rFonts w:ascii="Arial" w:hAnsi="Arial" w:cs="Arial"/>
        </w:rPr>
        <w:t xml:space="preserve"> </w:t>
      </w:r>
      <w:r w:rsidRPr="00DE2301">
        <w:rPr>
          <w:rFonts w:ascii="Arial" w:hAnsi="Arial" w:cs="Arial"/>
        </w:rPr>
        <w:t xml:space="preserve">for </w:t>
      </w:r>
      <w:r w:rsidR="001764A8">
        <w:rPr>
          <w:rFonts w:ascii="Arial" w:hAnsi="Arial" w:cs="Arial"/>
        </w:rPr>
        <w:t>non</w:t>
      </w:r>
      <w:r w:rsidR="00B56435">
        <w:rPr>
          <w:rFonts w:ascii="Arial" w:hAnsi="Arial" w:cs="Arial"/>
        </w:rPr>
        <w:t xml:space="preserve"> Revenue Resource Limit (</w:t>
      </w:r>
      <w:r w:rsidR="001764A8">
        <w:rPr>
          <w:rFonts w:ascii="Arial" w:hAnsi="Arial" w:cs="Arial"/>
        </w:rPr>
        <w:t>RRL</w:t>
      </w:r>
      <w:r w:rsidR="00B56435">
        <w:rPr>
          <w:rFonts w:ascii="Arial" w:hAnsi="Arial" w:cs="Arial"/>
        </w:rPr>
        <w:t>) Service Level Agreement (</w:t>
      </w:r>
      <w:r w:rsidR="001764A8">
        <w:rPr>
          <w:rFonts w:ascii="Arial" w:hAnsi="Arial" w:cs="Arial"/>
        </w:rPr>
        <w:t>SLA</w:t>
      </w:r>
      <w:r w:rsidR="00B56435">
        <w:rPr>
          <w:rFonts w:ascii="Arial" w:hAnsi="Arial" w:cs="Arial"/>
        </w:rPr>
        <w:t>)</w:t>
      </w:r>
      <w:r w:rsidR="001764A8">
        <w:rPr>
          <w:rFonts w:ascii="Arial" w:hAnsi="Arial" w:cs="Arial"/>
        </w:rPr>
        <w:t xml:space="preserve"> activities</w:t>
      </w:r>
      <w:r w:rsidR="00734FEB">
        <w:rPr>
          <w:rFonts w:ascii="Arial" w:hAnsi="Arial" w:cs="Arial"/>
        </w:rPr>
        <w:t xml:space="preserve">; this is associated with </w:t>
      </w:r>
      <w:r w:rsidR="0043562D" w:rsidRPr="00734FEB">
        <w:rPr>
          <w:rFonts w:ascii="Arial" w:hAnsi="Arial" w:cs="Arial"/>
        </w:rPr>
        <w:t>foot and ankle activity mix.</w:t>
      </w:r>
    </w:p>
    <w:p w:rsidR="00354084" w:rsidRDefault="00354084" w:rsidP="002178A3">
      <w:pPr>
        <w:pStyle w:val="BodyTextIndent3"/>
        <w:ind w:left="1080"/>
        <w:jc w:val="left"/>
        <w:rPr>
          <w:rFonts w:ascii="Arial" w:hAnsi="Arial" w:cs="Arial"/>
        </w:rPr>
      </w:pPr>
    </w:p>
    <w:p w:rsidR="00354084" w:rsidRPr="00B56435" w:rsidRDefault="00354084" w:rsidP="002178A3">
      <w:pPr>
        <w:pStyle w:val="BodyTextIndent3"/>
        <w:jc w:val="left"/>
        <w:rPr>
          <w:rFonts w:ascii="Arial" w:hAnsi="Arial" w:cs="Arial"/>
          <w:b/>
        </w:rPr>
      </w:pPr>
      <w:r w:rsidRPr="00B56435">
        <w:rPr>
          <w:rFonts w:ascii="Arial" w:hAnsi="Arial" w:cs="Arial"/>
          <w:b/>
        </w:rPr>
        <w:t>Expenditure</w:t>
      </w:r>
    </w:p>
    <w:p w:rsidR="002E6C31" w:rsidRDefault="002E6C31" w:rsidP="002178A3">
      <w:pPr>
        <w:pStyle w:val="BodyTextIndent3"/>
        <w:jc w:val="left"/>
        <w:rPr>
          <w:rFonts w:ascii="Arial" w:hAnsi="Arial" w:cs="Arial"/>
          <w:u w:val="single"/>
        </w:rPr>
      </w:pPr>
    </w:p>
    <w:p w:rsidR="00354084" w:rsidRDefault="00354084" w:rsidP="00810A57">
      <w:pPr>
        <w:pStyle w:val="BodyTextIndent3"/>
        <w:numPr>
          <w:ilvl w:val="0"/>
          <w:numId w:val="16"/>
        </w:numPr>
        <w:jc w:val="left"/>
        <w:rPr>
          <w:rFonts w:ascii="Arial" w:hAnsi="Arial" w:cs="Arial"/>
        </w:rPr>
      </w:pPr>
      <w:r>
        <w:rPr>
          <w:rFonts w:ascii="Arial" w:hAnsi="Arial" w:cs="Arial"/>
        </w:rPr>
        <w:t xml:space="preserve">Pay pressures are the main causes of the small overspend in Core Expenditure. The increased costs </w:t>
      </w:r>
      <w:r w:rsidR="001764A8">
        <w:rPr>
          <w:rFonts w:ascii="Arial" w:hAnsi="Arial" w:cs="Arial"/>
        </w:rPr>
        <w:t xml:space="preserve">continue </w:t>
      </w:r>
      <w:r>
        <w:rPr>
          <w:rFonts w:ascii="Arial" w:hAnsi="Arial" w:cs="Arial"/>
        </w:rPr>
        <w:t xml:space="preserve">mainly within Medical Staff pay costs due to an increased reliance on Waiting List sessions due to vacancies, unplanned leave and the requirement for additional sessions. </w:t>
      </w:r>
    </w:p>
    <w:p w:rsidR="002E6C31" w:rsidRDefault="002E6C31" w:rsidP="002E6C31">
      <w:pPr>
        <w:pStyle w:val="BodyTextIndent3"/>
        <w:ind w:left="720"/>
        <w:jc w:val="left"/>
        <w:rPr>
          <w:rFonts w:ascii="Arial" w:hAnsi="Arial" w:cs="Arial"/>
        </w:rPr>
      </w:pPr>
    </w:p>
    <w:p w:rsidR="00354084" w:rsidRPr="00693B97" w:rsidRDefault="00B56435" w:rsidP="00810A57">
      <w:pPr>
        <w:pStyle w:val="BodyTextIndent3"/>
        <w:numPr>
          <w:ilvl w:val="0"/>
          <w:numId w:val="16"/>
        </w:numPr>
        <w:jc w:val="left"/>
        <w:rPr>
          <w:rFonts w:ascii="Arial" w:hAnsi="Arial" w:cs="Arial"/>
        </w:rPr>
      </w:pPr>
      <w:r>
        <w:rPr>
          <w:rFonts w:ascii="Arial" w:hAnsi="Arial" w:cs="Arial"/>
        </w:rPr>
        <w:t>N</w:t>
      </w:r>
      <w:r w:rsidR="00E71E60">
        <w:rPr>
          <w:rFonts w:ascii="Arial" w:hAnsi="Arial" w:cs="Arial"/>
        </w:rPr>
        <w:t>ursing retains a positive</w:t>
      </w:r>
      <w:r w:rsidR="00354084">
        <w:rPr>
          <w:rFonts w:ascii="Arial" w:hAnsi="Arial" w:cs="Arial"/>
        </w:rPr>
        <w:t xml:space="preserve"> financial position with cost pressure within Cardiology wards and Cath Lab within Regional and National Medicine offset by under-spends within Surgical Services</w:t>
      </w:r>
      <w:r>
        <w:rPr>
          <w:rFonts w:ascii="Arial" w:hAnsi="Arial" w:cs="Arial"/>
        </w:rPr>
        <w:t>’</w:t>
      </w:r>
      <w:r w:rsidR="00E71E60">
        <w:rPr>
          <w:rFonts w:ascii="Arial" w:hAnsi="Arial" w:cs="Arial"/>
        </w:rPr>
        <w:t xml:space="preserve"> Orthopaedic wards</w:t>
      </w:r>
      <w:r w:rsidR="00354084">
        <w:rPr>
          <w:rFonts w:ascii="Arial" w:hAnsi="Arial" w:cs="Arial"/>
        </w:rPr>
        <w:t xml:space="preserve">. </w:t>
      </w:r>
      <w:r w:rsidR="00490ECC" w:rsidRPr="00693B97">
        <w:rPr>
          <w:rFonts w:ascii="Arial" w:hAnsi="Arial" w:cs="Arial"/>
        </w:rPr>
        <w:t xml:space="preserve">A non-recurring use of nurse agency within Critical </w:t>
      </w:r>
      <w:r>
        <w:rPr>
          <w:rFonts w:ascii="Arial" w:hAnsi="Arial" w:cs="Arial"/>
        </w:rPr>
        <w:t>C</w:t>
      </w:r>
      <w:r w:rsidR="00490ECC" w:rsidRPr="00693B97">
        <w:rPr>
          <w:rFonts w:ascii="Arial" w:hAnsi="Arial" w:cs="Arial"/>
        </w:rPr>
        <w:t xml:space="preserve">are units was offset by vacancies within the service. </w:t>
      </w:r>
    </w:p>
    <w:p w:rsidR="00354084" w:rsidRDefault="00354084" w:rsidP="006A30DD">
      <w:pPr>
        <w:pStyle w:val="BodyTextIndent3"/>
        <w:ind w:left="720"/>
        <w:jc w:val="left"/>
        <w:rPr>
          <w:rFonts w:ascii="Arial" w:hAnsi="Arial" w:cs="Arial"/>
        </w:rPr>
      </w:pPr>
    </w:p>
    <w:p w:rsidR="00354084" w:rsidRDefault="00354084" w:rsidP="00810A57">
      <w:pPr>
        <w:pStyle w:val="BodyTextIndent3"/>
        <w:numPr>
          <w:ilvl w:val="0"/>
          <w:numId w:val="16"/>
        </w:numPr>
        <w:jc w:val="left"/>
        <w:rPr>
          <w:rFonts w:ascii="Arial" w:hAnsi="Arial" w:cs="Arial"/>
        </w:rPr>
      </w:pPr>
      <w:r>
        <w:rPr>
          <w:rFonts w:ascii="Arial" w:hAnsi="Arial" w:cs="Arial"/>
        </w:rPr>
        <w:t xml:space="preserve">Surgical Supplies continues with </w:t>
      </w:r>
      <w:proofErr w:type="gramStart"/>
      <w:r>
        <w:rPr>
          <w:rFonts w:ascii="Arial" w:hAnsi="Arial" w:cs="Arial"/>
        </w:rPr>
        <w:t xml:space="preserve">an </w:t>
      </w:r>
      <w:proofErr w:type="spellStart"/>
      <w:r>
        <w:rPr>
          <w:rFonts w:ascii="Arial" w:hAnsi="Arial" w:cs="Arial"/>
        </w:rPr>
        <w:t>underspend</w:t>
      </w:r>
      <w:proofErr w:type="spellEnd"/>
      <w:proofErr w:type="gramEnd"/>
      <w:r w:rsidR="00B56435">
        <w:rPr>
          <w:rFonts w:ascii="Arial" w:hAnsi="Arial" w:cs="Arial"/>
        </w:rPr>
        <w:t>; this is</w:t>
      </w:r>
      <w:r>
        <w:rPr>
          <w:rFonts w:ascii="Arial" w:hAnsi="Arial" w:cs="Arial"/>
        </w:rPr>
        <w:t xml:space="preserve"> mostly attributable to Theatres and Cardiology Devices as a result of planned e</w:t>
      </w:r>
      <w:r w:rsidR="00E71E60">
        <w:rPr>
          <w:rFonts w:ascii="Arial" w:hAnsi="Arial" w:cs="Arial"/>
        </w:rPr>
        <w:t>fficiency benefits</w:t>
      </w:r>
      <w:r>
        <w:rPr>
          <w:rFonts w:ascii="Arial" w:hAnsi="Arial" w:cs="Arial"/>
        </w:rPr>
        <w:t xml:space="preserve"> realised.</w:t>
      </w:r>
    </w:p>
    <w:p w:rsidR="00354084" w:rsidRPr="002E3101" w:rsidRDefault="00354084" w:rsidP="005360F9">
      <w:pPr>
        <w:pStyle w:val="BodyTextIndent2"/>
        <w:ind w:left="0"/>
        <w:jc w:val="left"/>
        <w:rPr>
          <w:rFonts w:ascii="Arial" w:hAnsi="Arial" w:cs="Arial"/>
        </w:rPr>
      </w:pPr>
    </w:p>
    <w:p w:rsidR="00354084" w:rsidRDefault="00354084" w:rsidP="00255F24">
      <w:pPr>
        <w:pStyle w:val="BodyTextIndent2"/>
        <w:ind w:left="360"/>
        <w:jc w:val="left"/>
        <w:rPr>
          <w:rFonts w:ascii="Arial" w:hAnsi="Arial" w:cs="Arial"/>
        </w:rPr>
      </w:pPr>
      <w:r w:rsidRPr="00F551E5">
        <w:rPr>
          <w:rFonts w:ascii="Arial" w:hAnsi="Arial" w:cs="Arial"/>
        </w:rPr>
        <w:lastRenderedPageBreak/>
        <w:t>At this stage</w:t>
      </w:r>
      <w:r w:rsidR="00B56435">
        <w:rPr>
          <w:rFonts w:ascii="Arial" w:hAnsi="Arial" w:cs="Arial"/>
        </w:rPr>
        <w:t>,</w:t>
      </w:r>
      <w:r w:rsidRPr="00F551E5">
        <w:rPr>
          <w:rFonts w:ascii="Arial" w:hAnsi="Arial" w:cs="Arial"/>
        </w:rPr>
        <w:t xml:space="preserve"> it is anticipated that the Board will achieve the target agreed with the Scottish Government Health and Social Care Directorate</w:t>
      </w:r>
      <w:r w:rsidR="00B56435">
        <w:rPr>
          <w:rFonts w:ascii="Arial" w:hAnsi="Arial" w:cs="Arial"/>
        </w:rPr>
        <w:t>s (SGHSCD)</w:t>
      </w:r>
      <w:r w:rsidRPr="00F551E5">
        <w:rPr>
          <w:rFonts w:ascii="Arial" w:hAnsi="Arial" w:cs="Arial"/>
        </w:rPr>
        <w:t xml:space="preserve"> and in line with the Board</w:t>
      </w:r>
      <w:r w:rsidR="00B56435">
        <w:rPr>
          <w:rFonts w:ascii="Arial" w:hAnsi="Arial" w:cs="Arial"/>
        </w:rPr>
        <w:t>’</w:t>
      </w:r>
      <w:r w:rsidRPr="00F551E5">
        <w:rPr>
          <w:rFonts w:ascii="Arial" w:hAnsi="Arial" w:cs="Arial"/>
        </w:rPr>
        <w:t xml:space="preserve">s financial plan.  </w:t>
      </w:r>
    </w:p>
    <w:p w:rsidR="00354084" w:rsidRDefault="00354084" w:rsidP="00255F24">
      <w:pPr>
        <w:pStyle w:val="BodyTextIndent2"/>
        <w:ind w:left="360"/>
        <w:jc w:val="left"/>
        <w:rPr>
          <w:rFonts w:ascii="Arial" w:hAnsi="Arial" w:cs="Arial"/>
        </w:rPr>
      </w:pPr>
    </w:p>
    <w:p w:rsidR="00354084" w:rsidRPr="00F551E5" w:rsidRDefault="00354084" w:rsidP="00255F24">
      <w:pPr>
        <w:pStyle w:val="BodyTextIndent2"/>
        <w:ind w:left="360"/>
        <w:jc w:val="left"/>
        <w:rPr>
          <w:rFonts w:ascii="Arial" w:hAnsi="Arial" w:cs="Arial"/>
        </w:rPr>
      </w:pPr>
      <w:r w:rsidRPr="00F551E5">
        <w:rPr>
          <w:rFonts w:ascii="Arial" w:hAnsi="Arial" w:cs="Arial"/>
        </w:rPr>
        <w:t xml:space="preserve">The full year forecast undertaken at month </w:t>
      </w:r>
      <w:r w:rsidR="00E71E60">
        <w:rPr>
          <w:rFonts w:ascii="Arial" w:hAnsi="Arial" w:cs="Arial"/>
        </w:rPr>
        <w:t>seven</w:t>
      </w:r>
      <w:r w:rsidR="00B56435">
        <w:rPr>
          <w:rFonts w:ascii="Arial" w:hAnsi="Arial" w:cs="Arial"/>
        </w:rPr>
        <w:t>,</w:t>
      </w:r>
      <w:r w:rsidRPr="00F551E5">
        <w:rPr>
          <w:rFonts w:ascii="Arial" w:hAnsi="Arial" w:cs="Arial"/>
        </w:rPr>
        <w:t xml:space="preserve"> </w:t>
      </w:r>
      <w:r>
        <w:rPr>
          <w:rFonts w:ascii="Arial" w:hAnsi="Arial" w:cs="Arial"/>
        </w:rPr>
        <w:t>and monitored monthly</w:t>
      </w:r>
      <w:r w:rsidR="00B56435">
        <w:rPr>
          <w:rFonts w:ascii="Arial" w:hAnsi="Arial" w:cs="Arial"/>
        </w:rPr>
        <w:t>,</w:t>
      </w:r>
      <w:r>
        <w:rPr>
          <w:rFonts w:ascii="Arial" w:hAnsi="Arial" w:cs="Arial"/>
        </w:rPr>
        <w:t xml:space="preserve"> supports</w:t>
      </w:r>
      <w:r w:rsidRPr="00F551E5">
        <w:rPr>
          <w:rFonts w:ascii="Arial" w:hAnsi="Arial" w:cs="Arial"/>
        </w:rPr>
        <w:t xml:space="preserve"> </w:t>
      </w:r>
      <w:r w:rsidR="00B56435">
        <w:rPr>
          <w:rFonts w:ascii="Arial" w:hAnsi="Arial" w:cs="Arial"/>
        </w:rPr>
        <w:t xml:space="preserve">that </w:t>
      </w:r>
      <w:r>
        <w:rPr>
          <w:rFonts w:ascii="Arial" w:hAnsi="Arial" w:cs="Arial"/>
        </w:rPr>
        <w:t>a</w:t>
      </w:r>
      <w:r w:rsidRPr="00F551E5">
        <w:rPr>
          <w:rFonts w:ascii="Arial" w:hAnsi="Arial" w:cs="Arial"/>
        </w:rPr>
        <w:t xml:space="preserve"> breakeven position </w:t>
      </w:r>
      <w:r>
        <w:rPr>
          <w:rFonts w:ascii="Arial" w:hAnsi="Arial" w:cs="Arial"/>
        </w:rPr>
        <w:t>will</w:t>
      </w:r>
      <w:r w:rsidRPr="00F551E5">
        <w:rPr>
          <w:rFonts w:ascii="Arial" w:hAnsi="Arial" w:cs="Arial"/>
        </w:rPr>
        <w:t xml:space="preserve"> be achieved by year-end</w:t>
      </w:r>
      <w:r>
        <w:rPr>
          <w:rFonts w:ascii="Arial" w:hAnsi="Arial" w:cs="Arial"/>
        </w:rPr>
        <w:t xml:space="preserve"> with no significant risks to highlight</w:t>
      </w:r>
      <w:r w:rsidRPr="00F551E5">
        <w:rPr>
          <w:rFonts w:ascii="Arial" w:hAnsi="Arial" w:cs="Arial"/>
        </w:rPr>
        <w:t>.</w:t>
      </w:r>
    </w:p>
    <w:p w:rsidR="00354084" w:rsidRDefault="00354084" w:rsidP="001B5C7E">
      <w:pPr>
        <w:ind w:right="-514"/>
        <w:rPr>
          <w:rFonts w:ascii="Arial" w:hAnsi="Arial" w:cs="Arial"/>
        </w:rPr>
      </w:pPr>
    </w:p>
    <w:p w:rsidR="00354084" w:rsidRPr="00512829" w:rsidRDefault="00354084" w:rsidP="001B5C7E">
      <w:pPr>
        <w:pStyle w:val="Heading4"/>
        <w:numPr>
          <w:ilvl w:val="0"/>
          <w:numId w:val="3"/>
        </w:numPr>
        <w:rPr>
          <w:rFonts w:ascii="Arial" w:hAnsi="Arial" w:cs="Arial"/>
        </w:rPr>
      </w:pPr>
      <w:r w:rsidRPr="00512829">
        <w:rPr>
          <w:rFonts w:ascii="Arial" w:hAnsi="Arial" w:cs="Arial"/>
        </w:rPr>
        <w:t xml:space="preserve">National Fraud Initiative </w:t>
      </w:r>
    </w:p>
    <w:p w:rsidR="00354084" w:rsidRPr="00512829" w:rsidRDefault="00354084" w:rsidP="009E34FF">
      <w:pPr>
        <w:ind w:left="360" w:right="-514"/>
        <w:rPr>
          <w:rFonts w:ascii="Arial" w:hAnsi="Arial" w:cs="Arial"/>
        </w:rPr>
      </w:pPr>
    </w:p>
    <w:p w:rsidR="00354084" w:rsidRPr="00512829" w:rsidRDefault="00354084" w:rsidP="00ED0147">
      <w:pPr>
        <w:pStyle w:val="NormalWeb"/>
        <w:spacing w:before="0" w:after="0"/>
        <w:ind w:left="360"/>
        <w:rPr>
          <w:rFonts w:ascii="Arial" w:hAnsi="Arial" w:cs="Arial"/>
          <w:sz w:val="24"/>
          <w:szCs w:val="24"/>
        </w:rPr>
      </w:pPr>
      <w:r w:rsidRPr="00512829">
        <w:rPr>
          <w:rFonts w:ascii="Arial" w:hAnsi="Arial" w:cs="Arial"/>
          <w:sz w:val="24"/>
          <w:szCs w:val="24"/>
        </w:rPr>
        <w:t>The National Fraud Initiative (NFI) in Scotland is a counter</w:t>
      </w:r>
      <w:r w:rsidR="00B56435">
        <w:rPr>
          <w:rFonts w:ascii="Arial" w:hAnsi="Arial" w:cs="Arial"/>
          <w:sz w:val="24"/>
          <w:szCs w:val="24"/>
        </w:rPr>
        <w:t xml:space="preserve"> </w:t>
      </w:r>
      <w:r w:rsidRPr="00512829">
        <w:rPr>
          <w:rFonts w:ascii="Arial" w:hAnsi="Arial" w:cs="Arial"/>
          <w:sz w:val="24"/>
          <w:szCs w:val="24"/>
        </w:rPr>
        <w:t>fraud exercise led by Audit Scotland</w:t>
      </w:r>
      <w:r w:rsidR="00B56435">
        <w:rPr>
          <w:rFonts w:ascii="Arial" w:hAnsi="Arial" w:cs="Arial"/>
          <w:sz w:val="24"/>
          <w:szCs w:val="24"/>
        </w:rPr>
        <w:t>. It</w:t>
      </w:r>
      <w:r w:rsidRPr="00512829">
        <w:rPr>
          <w:rFonts w:ascii="Arial" w:hAnsi="Arial" w:cs="Arial"/>
          <w:sz w:val="24"/>
          <w:szCs w:val="24"/>
        </w:rPr>
        <w:t xml:space="preserve"> has been undertaken in the Board every two years since 2006/07, with the last exercise being in 2014/15. It uses computerised techniques to compare information about individuals held by different public bodies, and on different financial systems, to identify circumstances (matches) that might suggest the existence of fraud or error.</w:t>
      </w:r>
    </w:p>
    <w:p w:rsidR="00354084" w:rsidRPr="00512829" w:rsidRDefault="00354084" w:rsidP="00ED0147">
      <w:pPr>
        <w:pStyle w:val="NormalWeb"/>
        <w:spacing w:before="0" w:after="0"/>
        <w:ind w:left="360"/>
        <w:rPr>
          <w:rFonts w:ascii="Arial" w:hAnsi="Arial" w:cs="Arial"/>
          <w:sz w:val="24"/>
          <w:szCs w:val="24"/>
        </w:rPr>
      </w:pPr>
    </w:p>
    <w:p w:rsidR="00354084" w:rsidRPr="00512829" w:rsidRDefault="00354084" w:rsidP="00ED0147">
      <w:pPr>
        <w:pStyle w:val="NormalWeb"/>
        <w:spacing w:before="0" w:after="0"/>
        <w:ind w:left="360"/>
        <w:rPr>
          <w:rFonts w:ascii="Arial" w:hAnsi="Arial" w:cs="Arial"/>
          <w:sz w:val="24"/>
          <w:szCs w:val="24"/>
        </w:rPr>
      </w:pPr>
      <w:r w:rsidRPr="00512829">
        <w:rPr>
          <w:rFonts w:ascii="Arial" w:hAnsi="Arial" w:cs="Arial"/>
          <w:sz w:val="24"/>
          <w:szCs w:val="24"/>
        </w:rPr>
        <w:t>The exercise this year (20</w:t>
      </w:r>
      <w:r w:rsidR="00B56435">
        <w:rPr>
          <w:rFonts w:ascii="Arial" w:hAnsi="Arial" w:cs="Arial"/>
          <w:sz w:val="24"/>
          <w:szCs w:val="24"/>
        </w:rPr>
        <w:t>1</w:t>
      </w:r>
      <w:r w:rsidRPr="00512829">
        <w:rPr>
          <w:rFonts w:ascii="Arial" w:hAnsi="Arial" w:cs="Arial"/>
          <w:sz w:val="24"/>
          <w:szCs w:val="24"/>
        </w:rPr>
        <w:t xml:space="preserve">6/17) identified 1,195 matches with 144 of these recommended for review </w:t>
      </w:r>
      <w:r w:rsidR="002E6C31" w:rsidRPr="00512829">
        <w:rPr>
          <w:rFonts w:ascii="Arial" w:hAnsi="Arial" w:cs="Arial"/>
          <w:sz w:val="24"/>
          <w:szCs w:val="24"/>
        </w:rPr>
        <w:t>(</w:t>
      </w:r>
      <w:r w:rsidRPr="00512829">
        <w:rPr>
          <w:rFonts w:ascii="Arial" w:hAnsi="Arial" w:cs="Arial"/>
          <w:sz w:val="24"/>
          <w:szCs w:val="24"/>
        </w:rPr>
        <w:t>as a minimum</w:t>
      </w:r>
      <w:r w:rsidR="002E6C31" w:rsidRPr="00512829">
        <w:rPr>
          <w:rFonts w:ascii="Arial" w:hAnsi="Arial" w:cs="Arial"/>
          <w:sz w:val="24"/>
          <w:szCs w:val="24"/>
        </w:rPr>
        <w:t>)</w:t>
      </w:r>
      <w:r w:rsidRPr="00512829">
        <w:rPr>
          <w:rFonts w:ascii="Arial" w:hAnsi="Arial" w:cs="Arial"/>
          <w:sz w:val="24"/>
          <w:szCs w:val="24"/>
        </w:rPr>
        <w:t>. At the end of October</w:t>
      </w:r>
      <w:r w:rsidR="00B56435">
        <w:rPr>
          <w:rFonts w:ascii="Arial" w:hAnsi="Arial" w:cs="Arial"/>
          <w:sz w:val="24"/>
          <w:szCs w:val="24"/>
        </w:rPr>
        <w:t>,</w:t>
      </w:r>
      <w:r w:rsidRPr="00512829">
        <w:rPr>
          <w:rFonts w:ascii="Arial" w:hAnsi="Arial" w:cs="Arial"/>
          <w:sz w:val="24"/>
          <w:szCs w:val="24"/>
        </w:rPr>
        <w:t xml:space="preserve"> the Board had investigated and closed 143 matches with a further 22 in progress.  In line with the NFI reporting timetable</w:t>
      </w:r>
      <w:r w:rsidR="00B56435">
        <w:rPr>
          <w:rFonts w:ascii="Arial" w:hAnsi="Arial" w:cs="Arial"/>
          <w:sz w:val="24"/>
          <w:szCs w:val="24"/>
        </w:rPr>
        <w:t>,</w:t>
      </w:r>
      <w:r w:rsidRPr="00512829">
        <w:rPr>
          <w:rFonts w:ascii="Arial" w:hAnsi="Arial" w:cs="Arial"/>
          <w:sz w:val="24"/>
          <w:szCs w:val="24"/>
        </w:rPr>
        <w:t xml:space="preserve"> the deadline for matches to be investigated is 31 March 2018.  A </w:t>
      </w:r>
      <w:r w:rsidR="00D55096" w:rsidRPr="00512829">
        <w:rPr>
          <w:rFonts w:ascii="Arial" w:hAnsi="Arial" w:cs="Arial"/>
          <w:sz w:val="24"/>
          <w:szCs w:val="24"/>
        </w:rPr>
        <w:t xml:space="preserve">detailed </w:t>
      </w:r>
      <w:r w:rsidRPr="00512829">
        <w:rPr>
          <w:rFonts w:ascii="Arial" w:hAnsi="Arial" w:cs="Arial"/>
          <w:sz w:val="24"/>
          <w:szCs w:val="24"/>
        </w:rPr>
        <w:t xml:space="preserve">paper providing detail of the matches </w:t>
      </w:r>
      <w:r w:rsidR="00D55096" w:rsidRPr="00512829">
        <w:rPr>
          <w:rFonts w:ascii="Arial" w:hAnsi="Arial" w:cs="Arial"/>
          <w:sz w:val="24"/>
          <w:szCs w:val="24"/>
        </w:rPr>
        <w:t>was</w:t>
      </w:r>
      <w:r w:rsidRPr="00512829">
        <w:rPr>
          <w:rFonts w:ascii="Arial" w:hAnsi="Arial" w:cs="Arial"/>
          <w:sz w:val="24"/>
          <w:szCs w:val="24"/>
        </w:rPr>
        <w:t xml:space="preserve"> presented to the Audit and Risk Committee on 7 November</w:t>
      </w:r>
      <w:r w:rsidR="00D55096" w:rsidRPr="00512829">
        <w:rPr>
          <w:rFonts w:ascii="Arial" w:hAnsi="Arial" w:cs="Arial"/>
          <w:sz w:val="24"/>
          <w:szCs w:val="24"/>
        </w:rPr>
        <w:t xml:space="preserve"> and </w:t>
      </w:r>
      <w:r w:rsidR="002E6C31" w:rsidRPr="00512829">
        <w:rPr>
          <w:rFonts w:ascii="Arial" w:hAnsi="Arial" w:cs="Arial"/>
          <w:sz w:val="24"/>
          <w:szCs w:val="24"/>
        </w:rPr>
        <w:t xml:space="preserve">presented separately to the </w:t>
      </w:r>
      <w:r w:rsidR="00B56435">
        <w:rPr>
          <w:rFonts w:ascii="Arial" w:hAnsi="Arial" w:cs="Arial"/>
          <w:sz w:val="24"/>
          <w:szCs w:val="24"/>
        </w:rPr>
        <w:t>Senior Management Team (</w:t>
      </w:r>
      <w:r w:rsidR="002E6C31" w:rsidRPr="00512829">
        <w:rPr>
          <w:rFonts w:ascii="Arial" w:hAnsi="Arial" w:cs="Arial"/>
          <w:sz w:val="24"/>
          <w:szCs w:val="24"/>
        </w:rPr>
        <w:t>SMT</w:t>
      </w:r>
      <w:r w:rsidR="00B56435">
        <w:rPr>
          <w:rFonts w:ascii="Arial" w:hAnsi="Arial" w:cs="Arial"/>
          <w:sz w:val="24"/>
          <w:szCs w:val="24"/>
        </w:rPr>
        <w:t>)</w:t>
      </w:r>
      <w:r w:rsidR="002E6C31" w:rsidRPr="00512829">
        <w:rPr>
          <w:rFonts w:ascii="Arial" w:hAnsi="Arial" w:cs="Arial"/>
          <w:sz w:val="24"/>
          <w:szCs w:val="24"/>
        </w:rPr>
        <w:t xml:space="preserve"> meeting.</w:t>
      </w:r>
    </w:p>
    <w:p w:rsidR="00354084" w:rsidRPr="00512829" w:rsidRDefault="00354084" w:rsidP="00ED0147">
      <w:pPr>
        <w:pStyle w:val="NormalWeb"/>
        <w:spacing w:before="0" w:after="0"/>
        <w:ind w:left="360"/>
        <w:rPr>
          <w:rFonts w:ascii="Arial" w:hAnsi="Arial" w:cs="Arial"/>
          <w:sz w:val="24"/>
          <w:szCs w:val="24"/>
        </w:rPr>
      </w:pPr>
    </w:p>
    <w:p w:rsidR="00354084" w:rsidRPr="00512829" w:rsidRDefault="00354084" w:rsidP="00ED0147">
      <w:pPr>
        <w:pStyle w:val="NormalWeb"/>
        <w:spacing w:before="0" w:after="0"/>
        <w:ind w:left="360"/>
        <w:rPr>
          <w:rFonts w:ascii="Arial" w:hAnsi="Arial" w:cs="Arial"/>
          <w:sz w:val="24"/>
          <w:szCs w:val="24"/>
        </w:rPr>
      </w:pPr>
      <w:r w:rsidRPr="00512829">
        <w:rPr>
          <w:rFonts w:ascii="Arial" w:hAnsi="Arial" w:cs="Arial"/>
          <w:sz w:val="24"/>
          <w:szCs w:val="24"/>
        </w:rPr>
        <w:t>The exercise did not identify any i</w:t>
      </w:r>
      <w:r w:rsidR="002E6C31" w:rsidRPr="00512829">
        <w:rPr>
          <w:rFonts w:ascii="Arial" w:hAnsi="Arial" w:cs="Arial"/>
          <w:sz w:val="24"/>
          <w:szCs w:val="24"/>
        </w:rPr>
        <w:t>nstances</w:t>
      </w:r>
      <w:r w:rsidRPr="00512829">
        <w:rPr>
          <w:rFonts w:ascii="Arial" w:hAnsi="Arial" w:cs="Arial"/>
          <w:sz w:val="24"/>
          <w:szCs w:val="24"/>
        </w:rPr>
        <w:t xml:space="preserve"> of fraud from the reviews undertaken.</w:t>
      </w:r>
    </w:p>
    <w:p w:rsidR="00354084" w:rsidRPr="00E71E60" w:rsidRDefault="00354084" w:rsidP="00622900">
      <w:pPr>
        <w:ind w:right="-514"/>
        <w:rPr>
          <w:rFonts w:ascii="Arial" w:hAnsi="Arial" w:cs="Arial"/>
          <w:highlight w:val="yellow"/>
        </w:rPr>
      </w:pPr>
    </w:p>
    <w:p w:rsidR="00354084" w:rsidRPr="00512829" w:rsidRDefault="00354084" w:rsidP="001C1571">
      <w:pPr>
        <w:pStyle w:val="Heading4"/>
        <w:numPr>
          <w:ilvl w:val="0"/>
          <w:numId w:val="3"/>
        </w:numPr>
        <w:rPr>
          <w:rFonts w:ascii="Arial" w:hAnsi="Arial" w:cs="Arial"/>
        </w:rPr>
      </w:pPr>
      <w:r w:rsidRPr="00512829">
        <w:rPr>
          <w:rFonts w:ascii="Arial" w:hAnsi="Arial" w:cs="Arial"/>
        </w:rPr>
        <w:t>Counter Fraud Update</w:t>
      </w:r>
    </w:p>
    <w:p w:rsidR="00354084" w:rsidRPr="00512829" w:rsidRDefault="00354084" w:rsidP="0002462C">
      <w:pPr>
        <w:ind w:left="360"/>
        <w:rPr>
          <w:rFonts w:ascii="Arial" w:hAnsi="Arial" w:cs="Arial"/>
        </w:rPr>
      </w:pPr>
    </w:p>
    <w:p w:rsidR="00354084" w:rsidRPr="00512829" w:rsidRDefault="00354084" w:rsidP="00A44BE0">
      <w:pPr>
        <w:ind w:left="360"/>
        <w:rPr>
          <w:rFonts w:ascii="Arial" w:hAnsi="Arial" w:cs="Arial"/>
          <w:bCs/>
          <w:iCs/>
        </w:rPr>
      </w:pPr>
      <w:r w:rsidRPr="00512829">
        <w:rPr>
          <w:rFonts w:ascii="Arial" w:hAnsi="Arial" w:cs="Arial"/>
          <w:bCs/>
          <w:iCs/>
        </w:rPr>
        <w:t>The Board continues to work closely with Counter Fraud Services</w:t>
      </w:r>
      <w:r w:rsidR="00B56435">
        <w:rPr>
          <w:rFonts w:ascii="Arial" w:hAnsi="Arial" w:cs="Arial"/>
          <w:bCs/>
          <w:iCs/>
        </w:rPr>
        <w:t xml:space="preserve"> (CFS)</w:t>
      </w:r>
      <w:r w:rsidRPr="00512829">
        <w:rPr>
          <w:rFonts w:ascii="Arial" w:hAnsi="Arial" w:cs="Arial"/>
          <w:bCs/>
          <w:iCs/>
        </w:rPr>
        <w:t xml:space="preserve"> to deter, disable, detect and deal with financial crime in line with the CFS proactive plan for the year. Following the issue of the CFS proactive plan</w:t>
      </w:r>
      <w:r w:rsidR="00B56435">
        <w:rPr>
          <w:rFonts w:ascii="Arial" w:hAnsi="Arial" w:cs="Arial"/>
          <w:bCs/>
          <w:iCs/>
        </w:rPr>
        <w:t>,</w:t>
      </w:r>
      <w:r w:rsidRPr="00512829">
        <w:rPr>
          <w:rFonts w:ascii="Arial" w:hAnsi="Arial" w:cs="Arial"/>
          <w:bCs/>
          <w:iCs/>
        </w:rPr>
        <w:t xml:space="preserve"> the Board produces its plan on an annual basis to support these aims. The key elements of this are noted below</w:t>
      </w:r>
      <w:r w:rsidR="00B56435">
        <w:rPr>
          <w:rFonts w:ascii="Arial" w:hAnsi="Arial" w:cs="Arial"/>
          <w:bCs/>
          <w:iCs/>
        </w:rPr>
        <w:t xml:space="preserve"> with a </w:t>
      </w:r>
      <w:r w:rsidRPr="00512829">
        <w:rPr>
          <w:rFonts w:ascii="Arial" w:hAnsi="Arial" w:cs="Arial"/>
          <w:bCs/>
          <w:iCs/>
        </w:rPr>
        <w:t>working group established to take forward the plan for 2017/18.</w:t>
      </w:r>
    </w:p>
    <w:p w:rsidR="00354084" w:rsidRPr="00512829" w:rsidRDefault="00354084" w:rsidP="00A44BE0">
      <w:pPr>
        <w:rPr>
          <w:rFonts w:ascii="Arial" w:hAnsi="Arial" w:cs="Arial"/>
          <w:bCs/>
          <w:iCs/>
        </w:rPr>
      </w:pPr>
    </w:p>
    <w:p w:rsidR="00354084" w:rsidRPr="00512829" w:rsidRDefault="00354084" w:rsidP="00810A57">
      <w:pPr>
        <w:numPr>
          <w:ilvl w:val="0"/>
          <w:numId w:val="23"/>
        </w:numPr>
        <w:ind w:left="714" w:hanging="357"/>
        <w:jc w:val="both"/>
        <w:rPr>
          <w:rFonts w:ascii="Arial" w:hAnsi="Arial" w:cs="Arial"/>
          <w:b/>
          <w:bCs/>
        </w:rPr>
      </w:pPr>
      <w:r w:rsidRPr="00512829">
        <w:rPr>
          <w:rFonts w:ascii="Arial" w:hAnsi="Arial" w:cs="Arial"/>
          <w:b/>
          <w:bCs/>
        </w:rPr>
        <w:t xml:space="preserve">Fraud Awareness Campaign </w:t>
      </w:r>
    </w:p>
    <w:p w:rsidR="00354084" w:rsidRPr="00512829" w:rsidRDefault="00354084" w:rsidP="00A44BE0">
      <w:pPr>
        <w:jc w:val="both"/>
        <w:rPr>
          <w:rFonts w:ascii="Arial" w:hAnsi="Arial" w:cs="Arial"/>
          <w:b/>
          <w:bCs/>
        </w:rPr>
      </w:pPr>
    </w:p>
    <w:p w:rsidR="00354084" w:rsidRPr="00512829" w:rsidRDefault="00354084" w:rsidP="00A44BE0">
      <w:pPr>
        <w:ind w:left="714"/>
        <w:rPr>
          <w:rFonts w:ascii="Arial" w:hAnsi="Arial" w:cs="Arial"/>
          <w:bCs/>
        </w:rPr>
      </w:pPr>
      <w:r w:rsidRPr="00512829">
        <w:rPr>
          <w:rFonts w:ascii="Arial" w:hAnsi="Arial" w:cs="Arial"/>
          <w:bCs/>
        </w:rPr>
        <w:t>Detailed discussion</w:t>
      </w:r>
      <w:r w:rsidR="00B56435">
        <w:rPr>
          <w:rFonts w:ascii="Arial" w:hAnsi="Arial" w:cs="Arial"/>
          <w:bCs/>
        </w:rPr>
        <w:t>s</w:t>
      </w:r>
      <w:r w:rsidRPr="00512829">
        <w:rPr>
          <w:rFonts w:ascii="Arial" w:hAnsi="Arial" w:cs="Arial"/>
          <w:bCs/>
        </w:rPr>
        <w:t xml:space="preserve"> have taken place with CFS and the Communications team within the Board regarding steps we can take to raise fraud awareness within the Board</w:t>
      </w:r>
      <w:r w:rsidR="00B56435">
        <w:rPr>
          <w:rFonts w:ascii="Arial" w:hAnsi="Arial" w:cs="Arial"/>
          <w:bCs/>
        </w:rPr>
        <w:t>. T</w:t>
      </w:r>
      <w:r w:rsidRPr="00512829">
        <w:rPr>
          <w:rFonts w:ascii="Arial" w:hAnsi="Arial" w:cs="Arial"/>
          <w:bCs/>
        </w:rPr>
        <w:t xml:space="preserve">he campaign for 2017/18 will include the following: </w:t>
      </w:r>
    </w:p>
    <w:p w:rsidR="00354084" w:rsidRPr="00512829" w:rsidRDefault="00354084" w:rsidP="00A44BE0">
      <w:pPr>
        <w:ind w:left="360"/>
        <w:jc w:val="both"/>
        <w:rPr>
          <w:rFonts w:ascii="Arial" w:hAnsi="Arial" w:cs="Arial"/>
          <w:bCs/>
        </w:rPr>
      </w:pPr>
    </w:p>
    <w:p w:rsidR="00354084" w:rsidRPr="00512829" w:rsidRDefault="00B56435" w:rsidP="00810A57">
      <w:pPr>
        <w:pStyle w:val="ListParagraph"/>
        <w:numPr>
          <w:ilvl w:val="0"/>
          <w:numId w:val="24"/>
        </w:numPr>
        <w:spacing w:after="0" w:line="240" w:lineRule="auto"/>
        <w:ind w:left="1080"/>
        <w:contextualSpacing w:val="0"/>
        <w:rPr>
          <w:rFonts w:ascii="Arial" w:hAnsi="Arial" w:cs="Arial"/>
          <w:bCs/>
          <w:sz w:val="24"/>
          <w:szCs w:val="24"/>
        </w:rPr>
      </w:pPr>
      <w:r>
        <w:rPr>
          <w:rFonts w:ascii="Arial" w:hAnsi="Arial" w:cs="Arial"/>
          <w:bCs/>
          <w:sz w:val="24"/>
          <w:szCs w:val="24"/>
        </w:rPr>
        <w:t>A</w:t>
      </w:r>
      <w:r w:rsidR="00354084" w:rsidRPr="00512829">
        <w:rPr>
          <w:rFonts w:ascii="Arial" w:hAnsi="Arial" w:cs="Arial"/>
          <w:bCs/>
          <w:sz w:val="24"/>
          <w:szCs w:val="24"/>
        </w:rPr>
        <w:t xml:space="preserve"> fraud awareness day has been agreed with CFS for 1 December 2017 and will consist of a similar format to prior year events</w:t>
      </w:r>
      <w:r>
        <w:rPr>
          <w:rFonts w:ascii="Arial" w:hAnsi="Arial" w:cs="Arial"/>
          <w:bCs/>
          <w:sz w:val="24"/>
          <w:szCs w:val="24"/>
        </w:rPr>
        <w:t>;</w:t>
      </w:r>
    </w:p>
    <w:p w:rsidR="00354084" w:rsidRPr="00512829" w:rsidRDefault="00354084" w:rsidP="00810A57">
      <w:pPr>
        <w:pStyle w:val="ListParagraph"/>
        <w:numPr>
          <w:ilvl w:val="0"/>
          <w:numId w:val="24"/>
        </w:numPr>
        <w:spacing w:after="0" w:line="240" w:lineRule="auto"/>
        <w:ind w:left="1080"/>
        <w:contextualSpacing w:val="0"/>
        <w:rPr>
          <w:rFonts w:ascii="Arial" w:hAnsi="Arial" w:cs="Arial"/>
          <w:bCs/>
          <w:sz w:val="24"/>
          <w:szCs w:val="24"/>
        </w:rPr>
      </w:pPr>
      <w:r w:rsidRPr="00512829">
        <w:rPr>
          <w:rFonts w:ascii="Arial" w:hAnsi="Arial" w:cs="Arial"/>
          <w:bCs/>
          <w:sz w:val="24"/>
          <w:szCs w:val="24"/>
        </w:rPr>
        <w:t>Increase awareness of e-Learning through a communications plan;</w:t>
      </w:r>
    </w:p>
    <w:p w:rsidR="00354084" w:rsidRPr="00512829" w:rsidRDefault="00354084" w:rsidP="00810A57">
      <w:pPr>
        <w:pStyle w:val="ListParagraph"/>
        <w:numPr>
          <w:ilvl w:val="0"/>
          <w:numId w:val="24"/>
        </w:numPr>
        <w:spacing w:after="0" w:line="240" w:lineRule="auto"/>
        <w:ind w:left="1080"/>
        <w:contextualSpacing w:val="0"/>
        <w:rPr>
          <w:rFonts w:ascii="Arial" w:hAnsi="Arial" w:cs="Arial"/>
          <w:bCs/>
          <w:sz w:val="24"/>
          <w:szCs w:val="24"/>
        </w:rPr>
      </w:pPr>
      <w:r w:rsidRPr="00512829">
        <w:rPr>
          <w:rFonts w:ascii="Arial" w:hAnsi="Arial" w:cs="Arial"/>
          <w:bCs/>
          <w:sz w:val="24"/>
          <w:szCs w:val="24"/>
        </w:rPr>
        <w:t xml:space="preserve">Promotion of CFS website; and </w:t>
      </w:r>
    </w:p>
    <w:p w:rsidR="00354084" w:rsidRPr="00512829" w:rsidRDefault="00354084" w:rsidP="00810A57">
      <w:pPr>
        <w:pStyle w:val="ListParagraph"/>
        <w:numPr>
          <w:ilvl w:val="0"/>
          <w:numId w:val="24"/>
        </w:numPr>
        <w:spacing w:after="0" w:line="240" w:lineRule="auto"/>
        <w:ind w:left="1080"/>
        <w:contextualSpacing w:val="0"/>
        <w:rPr>
          <w:rFonts w:ascii="Arial" w:hAnsi="Arial" w:cs="Arial"/>
          <w:bCs/>
          <w:sz w:val="24"/>
          <w:szCs w:val="24"/>
        </w:rPr>
      </w:pPr>
      <w:r w:rsidRPr="00512829">
        <w:rPr>
          <w:rFonts w:ascii="Arial" w:hAnsi="Arial" w:cs="Arial"/>
          <w:bCs/>
          <w:sz w:val="24"/>
          <w:szCs w:val="24"/>
        </w:rPr>
        <w:t>Use of Counter Fraud Media, this will be also be agreed with the communications team.</w:t>
      </w:r>
    </w:p>
    <w:p w:rsidR="00354084" w:rsidRDefault="00354084" w:rsidP="00A44BE0">
      <w:pPr>
        <w:jc w:val="both"/>
        <w:rPr>
          <w:rFonts w:ascii="Arial" w:hAnsi="Arial" w:cs="Arial"/>
          <w:bCs/>
        </w:rPr>
      </w:pPr>
    </w:p>
    <w:p w:rsidR="00B56435" w:rsidRDefault="00B56435" w:rsidP="00A44BE0">
      <w:pPr>
        <w:jc w:val="both"/>
        <w:rPr>
          <w:rFonts w:ascii="Arial" w:hAnsi="Arial" w:cs="Arial"/>
          <w:bCs/>
        </w:rPr>
      </w:pPr>
    </w:p>
    <w:p w:rsidR="00B56435" w:rsidRPr="00512829" w:rsidRDefault="00B56435" w:rsidP="00A44BE0">
      <w:pPr>
        <w:jc w:val="both"/>
        <w:rPr>
          <w:rFonts w:ascii="Arial" w:hAnsi="Arial" w:cs="Arial"/>
          <w:bCs/>
        </w:rPr>
      </w:pPr>
    </w:p>
    <w:p w:rsidR="00354084" w:rsidRPr="00512829" w:rsidRDefault="00354084" w:rsidP="00810A57">
      <w:pPr>
        <w:numPr>
          <w:ilvl w:val="0"/>
          <w:numId w:val="23"/>
        </w:numPr>
        <w:ind w:left="714" w:hanging="357"/>
        <w:jc w:val="both"/>
        <w:rPr>
          <w:rFonts w:ascii="Arial" w:hAnsi="Arial" w:cs="Arial"/>
          <w:b/>
          <w:bCs/>
        </w:rPr>
      </w:pPr>
      <w:r w:rsidRPr="00512829">
        <w:rPr>
          <w:rFonts w:ascii="Arial" w:hAnsi="Arial" w:cs="Arial"/>
          <w:b/>
          <w:bCs/>
        </w:rPr>
        <w:lastRenderedPageBreak/>
        <w:t>Fraud Awareness Workshops</w:t>
      </w:r>
    </w:p>
    <w:p w:rsidR="00354084" w:rsidRPr="00512829" w:rsidRDefault="00354084" w:rsidP="00A44BE0">
      <w:pPr>
        <w:jc w:val="both"/>
        <w:rPr>
          <w:rFonts w:ascii="Arial" w:hAnsi="Arial" w:cs="Arial"/>
          <w:b/>
          <w:bCs/>
        </w:rPr>
      </w:pPr>
    </w:p>
    <w:p w:rsidR="00354084" w:rsidRPr="00512829" w:rsidRDefault="00354084" w:rsidP="00A44BE0">
      <w:pPr>
        <w:ind w:left="714"/>
        <w:rPr>
          <w:rFonts w:ascii="Arial" w:hAnsi="Arial" w:cs="Arial"/>
          <w:bCs/>
        </w:rPr>
      </w:pPr>
      <w:r w:rsidRPr="00512829">
        <w:rPr>
          <w:rFonts w:ascii="Arial" w:hAnsi="Arial" w:cs="Arial"/>
          <w:bCs/>
        </w:rPr>
        <w:t>As presented at previous meetings</w:t>
      </w:r>
      <w:r w:rsidR="00B56435">
        <w:rPr>
          <w:rFonts w:ascii="Arial" w:hAnsi="Arial" w:cs="Arial"/>
          <w:bCs/>
        </w:rPr>
        <w:t>,</w:t>
      </w:r>
      <w:r w:rsidRPr="00512829">
        <w:rPr>
          <w:rFonts w:ascii="Arial" w:hAnsi="Arial" w:cs="Arial"/>
          <w:bCs/>
        </w:rPr>
        <w:t xml:space="preserve"> a number of workshops are now available from CFS</w:t>
      </w:r>
      <w:r w:rsidR="00B56435">
        <w:rPr>
          <w:rFonts w:ascii="Arial" w:hAnsi="Arial" w:cs="Arial"/>
          <w:bCs/>
        </w:rPr>
        <w:t>. W</w:t>
      </w:r>
      <w:r w:rsidRPr="00512829">
        <w:rPr>
          <w:rFonts w:ascii="Arial" w:hAnsi="Arial" w:cs="Arial"/>
          <w:bCs/>
        </w:rPr>
        <w:t>e have run a number of sessions which are available for some teams and are looking to widen the uptake of available sessions within the Board.  There are still two sessions to be attended by Board staff, details are provided below:</w:t>
      </w:r>
    </w:p>
    <w:p w:rsidR="00354084" w:rsidRPr="00512829" w:rsidRDefault="00354084" w:rsidP="00A44BE0">
      <w:pPr>
        <w:ind w:left="714"/>
        <w:jc w:val="both"/>
        <w:rPr>
          <w:rFonts w:ascii="Arial" w:hAnsi="Arial" w:cs="Arial"/>
          <w:bCs/>
        </w:rPr>
      </w:pPr>
    </w:p>
    <w:p w:rsidR="00354084" w:rsidRPr="00512829" w:rsidRDefault="00354084" w:rsidP="00810A57">
      <w:pPr>
        <w:pStyle w:val="ListParagraph"/>
        <w:numPr>
          <w:ilvl w:val="0"/>
          <w:numId w:val="24"/>
        </w:numPr>
        <w:spacing w:after="0" w:line="240" w:lineRule="auto"/>
        <w:contextualSpacing w:val="0"/>
        <w:jc w:val="both"/>
        <w:rPr>
          <w:rFonts w:ascii="Arial" w:hAnsi="Arial" w:cs="Arial"/>
          <w:bCs/>
          <w:sz w:val="24"/>
          <w:szCs w:val="24"/>
        </w:rPr>
      </w:pPr>
      <w:r w:rsidRPr="00512829">
        <w:rPr>
          <w:rFonts w:ascii="Arial" w:hAnsi="Arial" w:cs="Arial"/>
          <w:bCs/>
          <w:sz w:val="24"/>
          <w:szCs w:val="24"/>
        </w:rPr>
        <w:t>Procurement Fraud – session attended by</w:t>
      </w:r>
      <w:r w:rsidR="00B56435">
        <w:rPr>
          <w:rFonts w:ascii="Arial" w:hAnsi="Arial" w:cs="Arial"/>
          <w:bCs/>
          <w:sz w:val="24"/>
          <w:szCs w:val="24"/>
        </w:rPr>
        <w:t xml:space="preserve"> P</w:t>
      </w:r>
      <w:r w:rsidRPr="00512829">
        <w:rPr>
          <w:rFonts w:ascii="Arial" w:hAnsi="Arial" w:cs="Arial"/>
          <w:bCs/>
          <w:sz w:val="24"/>
          <w:szCs w:val="24"/>
        </w:rPr>
        <w:t xml:space="preserve">rocurement and </w:t>
      </w:r>
      <w:r w:rsidR="00B56435">
        <w:rPr>
          <w:rFonts w:ascii="Arial" w:hAnsi="Arial" w:cs="Arial"/>
          <w:bCs/>
          <w:sz w:val="24"/>
          <w:szCs w:val="24"/>
        </w:rPr>
        <w:t>F</w:t>
      </w:r>
      <w:r w:rsidRPr="00512829">
        <w:rPr>
          <w:rFonts w:ascii="Arial" w:hAnsi="Arial" w:cs="Arial"/>
          <w:bCs/>
          <w:sz w:val="24"/>
          <w:szCs w:val="24"/>
        </w:rPr>
        <w:t>inance staff, other sessions are being arranged to cover other key staff groups such as estates and medical physics and e-health;</w:t>
      </w:r>
    </w:p>
    <w:p w:rsidR="00354084" w:rsidRPr="00512829" w:rsidRDefault="00354084" w:rsidP="00810A57">
      <w:pPr>
        <w:pStyle w:val="ListParagraph"/>
        <w:numPr>
          <w:ilvl w:val="0"/>
          <w:numId w:val="24"/>
        </w:numPr>
        <w:spacing w:after="0" w:line="240" w:lineRule="auto"/>
        <w:contextualSpacing w:val="0"/>
        <w:jc w:val="both"/>
        <w:rPr>
          <w:rFonts w:ascii="Arial" w:hAnsi="Arial" w:cs="Arial"/>
          <w:bCs/>
          <w:sz w:val="24"/>
          <w:szCs w:val="24"/>
        </w:rPr>
      </w:pPr>
      <w:r w:rsidRPr="00512829">
        <w:rPr>
          <w:rFonts w:ascii="Arial" w:hAnsi="Arial" w:cs="Arial"/>
          <w:bCs/>
          <w:sz w:val="24"/>
          <w:szCs w:val="24"/>
        </w:rPr>
        <w:t xml:space="preserve">Bank Account Takeover - session attended by </w:t>
      </w:r>
      <w:r w:rsidR="00B56435">
        <w:rPr>
          <w:rFonts w:ascii="Arial" w:hAnsi="Arial" w:cs="Arial"/>
          <w:bCs/>
          <w:sz w:val="24"/>
          <w:szCs w:val="24"/>
        </w:rPr>
        <w:t>P</w:t>
      </w:r>
      <w:r w:rsidRPr="00512829">
        <w:rPr>
          <w:rFonts w:ascii="Arial" w:hAnsi="Arial" w:cs="Arial"/>
          <w:bCs/>
          <w:sz w:val="24"/>
          <w:szCs w:val="24"/>
        </w:rPr>
        <w:t xml:space="preserve">rocurement and </w:t>
      </w:r>
      <w:r w:rsidR="00B56435">
        <w:rPr>
          <w:rFonts w:ascii="Arial" w:hAnsi="Arial" w:cs="Arial"/>
          <w:bCs/>
          <w:sz w:val="24"/>
          <w:szCs w:val="24"/>
        </w:rPr>
        <w:t>F</w:t>
      </w:r>
      <w:r w:rsidRPr="00512829">
        <w:rPr>
          <w:rFonts w:ascii="Arial" w:hAnsi="Arial" w:cs="Arial"/>
          <w:bCs/>
          <w:sz w:val="24"/>
          <w:szCs w:val="24"/>
        </w:rPr>
        <w:t>inance staff;</w:t>
      </w:r>
    </w:p>
    <w:p w:rsidR="0089626E" w:rsidRDefault="00354084">
      <w:pPr>
        <w:pStyle w:val="ListParagraph"/>
        <w:numPr>
          <w:ilvl w:val="0"/>
          <w:numId w:val="24"/>
        </w:numPr>
        <w:spacing w:after="0" w:line="240" w:lineRule="auto"/>
        <w:contextualSpacing w:val="0"/>
        <w:rPr>
          <w:rFonts w:ascii="Arial" w:hAnsi="Arial" w:cs="Arial"/>
          <w:bCs/>
          <w:sz w:val="24"/>
          <w:szCs w:val="24"/>
        </w:rPr>
      </w:pPr>
      <w:r w:rsidRPr="00512829">
        <w:rPr>
          <w:rFonts w:ascii="Arial" w:hAnsi="Arial" w:cs="Arial"/>
          <w:bCs/>
          <w:sz w:val="24"/>
          <w:szCs w:val="24"/>
        </w:rPr>
        <w:t>Cybercrime – a session was arranged for the SMT</w:t>
      </w:r>
      <w:r w:rsidR="00B56435">
        <w:rPr>
          <w:rFonts w:ascii="Arial" w:hAnsi="Arial" w:cs="Arial"/>
          <w:bCs/>
          <w:sz w:val="24"/>
          <w:szCs w:val="24"/>
        </w:rPr>
        <w:t>,</w:t>
      </w:r>
      <w:r w:rsidRPr="00512829">
        <w:rPr>
          <w:rFonts w:ascii="Arial" w:hAnsi="Arial" w:cs="Arial"/>
          <w:bCs/>
          <w:sz w:val="24"/>
          <w:szCs w:val="24"/>
        </w:rPr>
        <w:t xml:space="preserve"> which was very well received.  Following this</w:t>
      </w:r>
      <w:r w:rsidR="00B56435">
        <w:rPr>
          <w:rFonts w:ascii="Arial" w:hAnsi="Arial" w:cs="Arial"/>
          <w:bCs/>
          <w:sz w:val="24"/>
          <w:szCs w:val="24"/>
        </w:rPr>
        <w:t>,</w:t>
      </w:r>
      <w:r w:rsidRPr="00512829">
        <w:rPr>
          <w:rFonts w:ascii="Arial" w:hAnsi="Arial" w:cs="Arial"/>
          <w:bCs/>
          <w:sz w:val="24"/>
          <w:szCs w:val="24"/>
        </w:rPr>
        <w:t xml:space="preserve"> two further sessions have been organised as joint events between CFS and the Board. The Head of e-Health</w:t>
      </w:r>
      <w:r w:rsidR="00B56435">
        <w:rPr>
          <w:rFonts w:ascii="Arial" w:hAnsi="Arial" w:cs="Arial"/>
          <w:bCs/>
          <w:sz w:val="24"/>
          <w:szCs w:val="24"/>
        </w:rPr>
        <w:t>,</w:t>
      </w:r>
      <w:r w:rsidRPr="00512829">
        <w:rPr>
          <w:rFonts w:ascii="Arial" w:hAnsi="Arial" w:cs="Arial"/>
          <w:bCs/>
          <w:sz w:val="24"/>
          <w:szCs w:val="24"/>
        </w:rPr>
        <w:t xml:space="preserve"> in partnership with CFS</w:t>
      </w:r>
      <w:r w:rsidR="00B56435">
        <w:rPr>
          <w:rFonts w:ascii="Arial" w:hAnsi="Arial" w:cs="Arial"/>
          <w:bCs/>
          <w:sz w:val="24"/>
          <w:szCs w:val="24"/>
        </w:rPr>
        <w:t>,</w:t>
      </w:r>
      <w:r w:rsidRPr="00512829">
        <w:rPr>
          <w:rFonts w:ascii="Arial" w:hAnsi="Arial" w:cs="Arial"/>
          <w:bCs/>
          <w:sz w:val="24"/>
          <w:szCs w:val="24"/>
        </w:rPr>
        <w:t xml:space="preserve"> has planned further sessions to run to the end of the financial year; and </w:t>
      </w:r>
    </w:p>
    <w:p w:rsidR="0089626E" w:rsidRDefault="00354084">
      <w:pPr>
        <w:pStyle w:val="ListParagraph"/>
        <w:numPr>
          <w:ilvl w:val="0"/>
          <w:numId w:val="24"/>
        </w:numPr>
        <w:spacing w:after="0" w:line="240" w:lineRule="auto"/>
        <w:contextualSpacing w:val="0"/>
        <w:rPr>
          <w:rFonts w:ascii="Arial" w:hAnsi="Arial" w:cs="Arial"/>
          <w:bCs/>
          <w:sz w:val="24"/>
          <w:szCs w:val="24"/>
        </w:rPr>
      </w:pPr>
      <w:r w:rsidRPr="00512829">
        <w:rPr>
          <w:rFonts w:ascii="Arial" w:hAnsi="Arial" w:cs="Arial"/>
          <w:bCs/>
          <w:sz w:val="24"/>
          <w:szCs w:val="24"/>
        </w:rPr>
        <w:t>Bribery and Corruption – following the SMT presentation</w:t>
      </w:r>
      <w:r w:rsidR="00B56435">
        <w:rPr>
          <w:rFonts w:ascii="Arial" w:hAnsi="Arial" w:cs="Arial"/>
          <w:bCs/>
          <w:sz w:val="24"/>
          <w:szCs w:val="24"/>
        </w:rPr>
        <w:t>,</w:t>
      </w:r>
      <w:r w:rsidRPr="00512829">
        <w:rPr>
          <w:rFonts w:ascii="Arial" w:hAnsi="Arial" w:cs="Arial"/>
          <w:bCs/>
          <w:sz w:val="24"/>
          <w:szCs w:val="24"/>
        </w:rPr>
        <w:t xml:space="preserve"> a further workshop was held during October with attendance from </w:t>
      </w:r>
      <w:r w:rsidR="00B56435">
        <w:rPr>
          <w:rFonts w:ascii="Arial" w:hAnsi="Arial" w:cs="Arial"/>
          <w:bCs/>
          <w:sz w:val="24"/>
          <w:szCs w:val="24"/>
        </w:rPr>
        <w:t>F</w:t>
      </w:r>
      <w:r w:rsidRPr="00512829">
        <w:rPr>
          <w:rFonts w:ascii="Arial" w:hAnsi="Arial" w:cs="Arial"/>
          <w:bCs/>
          <w:sz w:val="24"/>
          <w:szCs w:val="24"/>
        </w:rPr>
        <w:t xml:space="preserve">inance, </w:t>
      </w:r>
      <w:r w:rsidR="00B56435">
        <w:rPr>
          <w:rFonts w:ascii="Arial" w:hAnsi="Arial" w:cs="Arial"/>
          <w:bCs/>
          <w:sz w:val="24"/>
          <w:szCs w:val="24"/>
        </w:rPr>
        <w:t>P</w:t>
      </w:r>
      <w:r w:rsidRPr="00512829">
        <w:rPr>
          <w:rFonts w:ascii="Arial" w:hAnsi="Arial" w:cs="Arial"/>
          <w:bCs/>
          <w:sz w:val="24"/>
          <w:szCs w:val="24"/>
        </w:rPr>
        <w:t xml:space="preserve">rocurement, </w:t>
      </w:r>
      <w:r w:rsidR="00B56435">
        <w:rPr>
          <w:rFonts w:ascii="Arial" w:hAnsi="Arial" w:cs="Arial"/>
          <w:bCs/>
          <w:sz w:val="24"/>
          <w:szCs w:val="24"/>
        </w:rPr>
        <w:t>P</w:t>
      </w:r>
      <w:r w:rsidRPr="00512829">
        <w:rPr>
          <w:rFonts w:ascii="Arial" w:hAnsi="Arial" w:cs="Arial"/>
          <w:bCs/>
          <w:sz w:val="24"/>
          <w:szCs w:val="24"/>
        </w:rPr>
        <w:t xml:space="preserve">harmacy and </w:t>
      </w:r>
      <w:r w:rsidR="00B56435">
        <w:rPr>
          <w:rFonts w:ascii="Arial" w:hAnsi="Arial" w:cs="Arial"/>
          <w:bCs/>
          <w:sz w:val="24"/>
          <w:szCs w:val="24"/>
        </w:rPr>
        <w:t>E</w:t>
      </w:r>
      <w:r w:rsidRPr="00512829">
        <w:rPr>
          <w:rFonts w:ascii="Arial" w:hAnsi="Arial" w:cs="Arial"/>
          <w:bCs/>
          <w:sz w:val="24"/>
          <w:szCs w:val="24"/>
        </w:rPr>
        <w:t xml:space="preserve">states. It is planned to run further workshops, focusing on clinical and operational teams. </w:t>
      </w:r>
    </w:p>
    <w:p w:rsidR="00354084" w:rsidRPr="00512829" w:rsidRDefault="00354084" w:rsidP="00A44BE0">
      <w:pPr>
        <w:jc w:val="both"/>
        <w:rPr>
          <w:rFonts w:ascii="Arial" w:hAnsi="Arial" w:cs="Arial"/>
          <w:bCs/>
        </w:rPr>
      </w:pPr>
    </w:p>
    <w:p w:rsidR="00354084" w:rsidRPr="00512829" w:rsidRDefault="00354084" w:rsidP="00810A57">
      <w:pPr>
        <w:numPr>
          <w:ilvl w:val="0"/>
          <w:numId w:val="23"/>
        </w:numPr>
        <w:ind w:left="714" w:hanging="357"/>
        <w:jc w:val="both"/>
        <w:rPr>
          <w:rFonts w:ascii="Arial" w:hAnsi="Arial" w:cs="Arial"/>
          <w:b/>
          <w:bCs/>
        </w:rPr>
      </w:pPr>
      <w:r w:rsidRPr="00512829">
        <w:rPr>
          <w:rFonts w:ascii="Arial" w:hAnsi="Arial" w:cs="Arial"/>
          <w:b/>
          <w:bCs/>
        </w:rPr>
        <w:t>Fraud Impact Assessment</w:t>
      </w:r>
    </w:p>
    <w:p w:rsidR="00354084" w:rsidRPr="00512829" w:rsidRDefault="00354084" w:rsidP="00A44BE0">
      <w:pPr>
        <w:jc w:val="both"/>
        <w:rPr>
          <w:rFonts w:ascii="Arial" w:hAnsi="Arial" w:cs="Arial"/>
          <w:b/>
          <w:bCs/>
        </w:rPr>
      </w:pPr>
    </w:p>
    <w:p w:rsidR="00354084" w:rsidRPr="00512829" w:rsidRDefault="00354084" w:rsidP="00A44BE0">
      <w:pPr>
        <w:ind w:left="714"/>
        <w:rPr>
          <w:rFonts w:ascii="Arial" w:hAnsi="Arial" w:cs="Arial"/>
          <w:bCs/>
        </w:rPr>
      </w:pPr>
      <w:r w:rsidRPr="00512829">
        <w:rPr>
          <w:rFonts w:ascii="Arial" w:hAnsi="Arial" w:cs="Arial"/>
          <w:bCs/>
        </w:rPr>
        <w:t xml:space="preserve">We are liaising with CFS to utilise the planned offerings to assist in disabling fraud by removing potential weaknesses in the system and highlighting potential loopholes in Board policies and processes.  This review </w:t>
      </w:r>
      <w:r w:rsidR="00B56435">
        <w:rPr>
          <w:rFonts w:ascii="Arial" w:hAnsi="Arial" w:cs="Arial"/>
          <w:bCs/>
        </w:rPr>
        <w:t>will be</w:t>
      </w:r>
      <w:r w:rsidR="00B56435" w:rsidRPr="00512829">
        <w:rPr>
          <w:rFonts w:ascii="Arial" w:hAnsi="Arial" w:cs="Arial"/>
          <w:bCs/>
        </w:rPr>
        <w:t xml:space="preserve"> </w:t>
      </w:r>
      <w:r w:rsidRPr="00512829">
        <w:rPr>
          <w:rFonts w:ascii="Arial" w:hAnsi="Arial" w:cs="Arial"/>
          <w:bCs/>
        </w:rPr>
        <w:t>undertaken by the Board with assistance from CFS if required.</w:t>
      </w:r>
    </w:p>
    <w:p w:rsidR="00354084" w:rsidRPr="00512829" w:rsidRDefault="00354084" w:rsidP="00A44BE0">
      <w:pPr>
        <w:jc w:val="both"/>
        <w:rPr>
          <w:rFonts w:ascii="Arial" w:hAnsi="Arial" w:cs="Arial"/>
          <w:bCs/>
        </w:rPr>
      </w:pPr>
      <w:r w:rsidRPr="00512829">
        <w:rPr>
          <w:rFonts w:ascii="Arial" w:hAnsi="Arial" w:cs="Arial"/>
          <w:b/>
          <w:bCs/>
        </w:rPr>
        <w:t xml:space="preserve"> </w:t>
      </w:r>
    </w:p>
    <w:p w:rsidR="00354084" w:rsidRPr="00512829" w:rsidRDefault="00354084" w:rsidP="00BF1F5E">
      <w:pPr>
        <w:numPr>
          <w:ilvl w:val="0"/>
          <w:numId w:val="23"/>
        </w:numPr>
        <w:ind w:left="714" w:hanging="357"/>
        <w:jc w:val="both"/>
        <w:rPr>
          <w:rFonts w:ascii="Arial" w:hAnsi="Arial" w:cs="Arial"/>
          <w:b/>
          <w:bCs/>
        </w:rPr>
      </w:pPr>
      <w:r w:rsidRPr="00512829">
        <w:rPr>
          <w:rFonts w:ascii="Arial" w:hAnsi="Arial" w:cs="Arial"/>
          <w:b/>
          <w:bCs/>
        </w:rPr>
        <w:t>Annual Visit</w:t>
      </w:r>
    </w:p>
    <w:p w:rsidR="00354084" w:rsidRPr="00512829" w:rsidRDefault="00354084" w:rsidP="00F643E0">
      <w:pPr>
        <w:ind w:left="360"/>
        <w:rPr>
          <w:rFonts w:ascii="Arial" w:hAnsi="Arial" w:cs="Arial"/>
          <w:b/>
          <w:bCs/>
          <w:iCs/>
        </w:rPr>
      </w:pPr>
    </w:p>
    <w:p w:rsidR="00354084" w:rsidRPr="00512829" w:rsidRDefault="00354084" w:rsidP="00BF1F5E">
      <w:pPr>
        <w:pStyle w:val="BodyTextIndent2"/>
        <w:jc w:val="left"/>
        <w:rPr>
          <w:rFonts w:ascii="Arial" w:hAnsi="Arial" w:cs="Arial"/>
        </w:rPr>
      </w:pPr>
      <w:r w:rsidRPr="00512829">
        <w:rPr>
          <w:rFonts w:ascii="Arial" w:hAnsi="Arial" w:cs="Arial"/>
        </w:rPr>
        <w:t>As in prior years</w:t>
      </w:r>
      <w:r w:rsidR="00B56435">
        <w:rPr>
          <w:rFonts w:ascii="Arial" w:hAnsi="Arial" w:cs="Arial"/>
        </w:rPr>
        <w:t>,</w:t>
      </w:r>
      <w:r w:rsidRPr="00512829">
        <w:rPr>
          <w:rFonts w:ascii="Arial" w:hAnsi="Arial" w:cs="Arial"/>
        </w:rPr>
        <w:t xml:space="preserve"> the annual visit with the team from CFS is being arranged for the start of quarter four of the financial year</w:t>
      </w:r>
      <w:r w:rsidR="00B56435">
        <w:rPr>
          <w:rFonts w:ascii="Arial" w:hAnsi="Arial" w:cs="Arial"/>
        </w:rPr>
        <w:t>; this</w:t>
      </w:r>
      <w:r w:rsidRPr="00512829">
        <w:rPr>
          <w:rFonts w:ascii="Arial" w:hAnsi="Arial" w:cs="Arial"/>
        </w:rPr>
        <w:t xml:space="preserve"> includes the Director of Finance, Assistant Director of Finance (Governance and Financial Accounting and the Board Chair as our Fraud Champion.</w:t>
      </w:r>
    </w:p>
    <w:p w:rsidR="00354084" w:rsidRPr="00512829" w:rsidRDefault="00354084" w:rsidP="00A44BE0">
      <w:pPr>
        <w:pStyle w:val="BodyTextIndent2"/>
        <w:ind w:left="360"/>
        <w:jc w:val="left"/>
        <w:rPr>
          <w:rFonts w:ascii="Arial" w:hAnsi="Arial" w:cs="Arial"/>
        </w:rPr>
      </w:pPr>
    </w:p>
    <w:p w:rsidR="00354084" w:rsidRPr="00073359" w:rsidRDefault="00354084" w:rsidP="00F643E0">
      <w:pPr>
        <w:pStyle w:val="Heading4"/>
        <w:numPr>
          <w:ilvl w:val="0"/>
          <w:numId w:val="3"/>
        </w:numPr>
        <w:rPr>
          <w:rFonts w:ascii="Arial" w:hAnsi="Arial" w:cs="Arial"/>
        </w:rPr>
      </w:pPr>
      <w:r w:rsidRPr="00073359">
        <w:rPr>
          <w:rFonts w:ascii="Arial" w:hAnsi="Arial" w:cs="Arial"/>
        </w:rPr>
        <w:t>Capital Update</w:t>
      </w:r>
    </w:p>
    <w:p w:rsidR="00354084" w:rsidRPr="00073359" w:rsidRDefault="00354084" w:rsidP="00A44BE0">
      <w:pPr>
        <w:pStyle w:val="BodyTextIndent2"/>
        <w:ind w:left="360"/>
        <w:jc w:val="left"/>
        <w:rPr>
          <w:rFonts w:ascii="Arial" w:hAnsi="Arial" w:cs="Arial"/>
        </w:rPr>
      </w:pPr>
    </w:p>
    <w:p w:rsidR="00354084" w:rsidRPr="00073359" w:rsidRDefault="00354084" w:rsidP="00A44BE0">
      <w:pPr>
        <w:pStyle w:val="BodyTextIndent2"/>
        <w:ind w:left="360"/>
        <w:jc w:val="left"/>
        <w:rPr>
          <w:rFonts w:ascii="Arial" w:hAnsi="Arial" w:cs="Arial"/>
        </w:rPr>
      </w:pPr>
      <w:r w:rsidRPr="00073359">
        <w:rPr>
          <w:rFonts w:ascii="Arial" w:hAnsi="Arial" w:cs="Arial"/>
        </w:rPr>
        <w:t>The capital group was provided with an update on the financial position in the three key areas which make up the financial plan with this noted below.</w:t>
      </w:r>
    </w:p>
    <w:p w:rsidR="00354084" w:rsidRPr="00073359" w:rsidRDefault="00354084" w:rsidP="00A44BE0">
      <w:pPr>
        <w:pStyle w:val="BodyTextIndent2"/>
        <w:ind w:left="360"/>
        <w:jc w:val="left"/>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2"/>
        <w:gridCol w:w="2053"/>
        <w:gridCol w:w="2023"/>
      </w:tblGrid>
      <w:tr w:rsidR="00354084" w:rsidRPr="00073359" w:rsidTr="00FB269C">
        <w:tc>
          <w:tcPr>
            <w:tcW w:w="2042" w:type="dxa"/>
          </w:tcPr>
          <w:p w:rsidR="00354084" w:rsidRPr="00073359" w:rsidRDefault="00354084" w:rsidP="00FB269C">
            <w:pPr>
              <w:pStyle w:val="BodyTextIndent2"/>
              <w:ind w:left="0"/>
              <w:jc w:val="left"/>
              <w:rPr>
                <w:rFonts w:ascii="Arial" w:hAnsi="Arial" w:cs="Arial"/>
              </w:rPr>
            </w:pPr>
          </w:p>
        </w:tc>
        <w:tc>
          <w:tcPr>
            <w:tcW w:w="2053" w:type="dxa"/>
          </w:tcPr>
          <w:p w:rsidR="00354084" w:rsidRPr="00073359" w:rsidRDefault="00354084" w:rsidP="00FB269C">
            <w:pPr>
              <w:pStyle w:val="BodyTextIndent2"/>
              <w:ind w:left="0"/>
              <w:jc w:val="left"/>
              <w:rPr>
                <w:rFonts w:ascii="Arial" w:hAnsi="Arial" w:cs="Arial"/>
              </w:rPr>
            </w:pPr>
            <w:r w:rsidRPr="00073359">
              <w:rPr>
                <w:rFonts w:ascii="Arial" w:hAnsi="Arial" w:cs="Arial"/>
              </w:rPr>
              <w:t xml:space="preserve">Allocation </w:t>
            </w:r>
          </w:p>
          <w:p w:rsidR="00354084" w:rsidRPr="00073359" w:rsidRDefault="00354084" w:rsidP="00FB269C">
            <w:pPr>
              <w:pStyle w:val="BodyTextIndent2"/>
              <w:ind w:left="0"/>
              <w:jc w:val="left"/>
              <w:rPr>
                <w:rFonts w:ascii="Arial" w:hAnsi="Arial" w:cs="Arial"/>
              </w:rPr>
            </w:pPr>
            <w:r w:rsidRPr="00073359">
              <w:rPr>
                <w:rFonts w:ascii="Arial" w:hAnsi="Arial" w:cs="Arial"/>
              </w:rPr>
              <w:t>£’000</w:t>
            </w:r>
          </w:p>
        </w:tc>
        <w:tc>
          <w:tcPr>
            <w:tcW w:w="2023" w:type="dxa"/>
          </w:tcPr>
          <w:p w:rsidR="00354084" w:rsidRPr="00073359" w:rsidRDefault="00354084" w:rsidP="00FB269C">
            <w:pPr>
              <w:pStyle w:val="BodyTextIndent2"/>
              <w:ind w:left="0"/>
              <w:jc w:val="left"/>
              <w:rPr>
                <w:rFonts w:ascii="Arial" w:hAnsi="Arial" w:cs="Arial"/>
              </w:rPr>
            </w:pPr>
            <w:r w:rsidRPr="00073359">
              <w:rPr>
                <w:rFonts w:ascii="Arial" w:hAnsi="Arial" w:cs="Arial"/>
              </w:rPr>
              <w:t>Spend to date</w:t>
            </w:r>
          </w:p>
          <w:p w:rsidR="00354084" w:rsidRPr="00073359" w:rsidRDefault="00354084" w:rsidP="00FB269C">
            <w:pPr>
              <w:pStyle w:val="BodyTextIndent2"/>
              <w:ind w:left="0"/>
              <w:jc w:val="left"/>
              <w:rPr>
                <w:rFonts w:ascii="Arial" w:hAnsi="Arial" w:cs="Arial"/>
              </w:rPr>
            </w:pPr>
            <w:r w:rsidRPr="00073359">
              <w:rPr>
                <w:rFonts w:ascii="Arial" w:hAnsi="Arial" w:cs="Arial"/>
              </w:rPr>
              <w:t>£’000</w:t>
            </w:r>
          </w:p>
        </w:tc>
      </w:tr>
      <w:tr w:rsidR="00354084" w:rsidRPr="00073359" w:rsidTr="00FB269C">
        <w:tc>
          <w:tcPr>
            <w:tcW w:w="2042" w:type="dxa"/>
          </w:tcPr>
          <w:p w:rsidR="00354084" w:rsidRPr="00073359" w:rsidRDefault="00354084" w:rsidP="00FB269C">
            <w:pPr>
              <w:pStyle w:val="BodyTextIndent2"/>
              <w:ind w:left="0"/>
              <w:jc w:val="left"/>
              <w:rPr>
                <w:rFonts w:ascii="Arial" w:hAnsi="Arial" w:cs="Arial"/>
              </w:rPr>
            </w:pPr>
            <w:r w:rsidRPr="00073359">
              <w:rPr>
                <w:rFonts w:ascii="Arial" w:hAnsi="Arial" w:cs="Arial"/>
              </w:rPr>
              <w:t>Formula capital</w:t>
            </w:r>
          </w:p>
        </w:tc>
        <w:tc>
          <w:tcPr>
            <w:tcW w:w="2053" w:type="dxa"/>
          </w:tcPr>
          <w:p w:rsidR="00354084" w:rsidRPr="00073359" w:rsidRDefault="00354084" w:rsidP="00FB269C">
            <w:pPr>
              <w:pStyle w:val="BodyTextIndent2"/>
              <w:ind w:left="0"/>
              <w:jc w:val="left"/>
              <w:rPr>
                <w:rFonts w:ascii="Arial" w:hAnsi="Arial" w:cs="Arial"/>
              </w:rPr>
            </w:pPr>
            <w:r w:rsidRPr="00073359">
              <w:rPr>
                <w:rFonts w:ascii="Arial" w:hAnsi="Arial" w:cs="Arial"/>
              </w:rPr>
              <w:t>2,691</w:t>
            </w:r>
          </w:p>
        </w:tc>
        <w:tc>
          <w:tcPr>
            <w:tcW w:w="2023" w:type="dxa"/>
          </w:tcPr>
          <w:p w:rsidR="00354084" w:rsidRPr="00073359" w:rsidRDefault="00073359" w:rsidP="00FB269C">
            <w:pPr>
              <w:pStyle w:val="BodyTextIndent2"/>
              <w:ind w:left="0"/>
              <w:jc w:val="left"/>
              <w:rPr>
                <w:rFonts w:ascii="Arial" w:hAnsi="Arial" w:cs="Arial"/>
              </w:rPr>
            </w:pPr>
            <w:r>
              <w:rPr>
                <w:rFonts w:ascii="Arial" w:hAnsi="Arial" w:cs="Arial"/>
              </w:rPr>
              <w:t>231</w:t>
            </w:r>
          </w:p>
        </w:tc>
      </w:tr>
      <w:tr w:rsidR="00354084" w:rsidRPr="00073359" w:rsidTr="00FB269C">
        <w:tc>
          <w:tcPr>
            <w:tcW w:w="2042" w:type="dxa"/>
          </w:tcPr>
          <w:p w:rsidR="00354084" w:rsidRPr="00073359" w:rsidRDefault="00354084" w:rsidP="00FB269C">
            <w:pPr>
              <w:pStyle w:val="BodyTextIndent2"/>
              <w:ind w:left="0"/>
              <w:jc w:val="left"/>
              <w:rPr>
                <w:rFonts w:ascii="Arial" w:hAnsi="Arial" w:cs="Arial"/>
              </w:rPr>
            </w:pPr>
            <w:r w:rsidRPr="00073359">
              <w:rPr>
                <w:rFonts w:ascii="Arial" w:hAnsi="Arial" w:cs="Arial"/>
              </w:rPr>
              <w:t>Capital Stimulus</w:t>
            </w:r>
          </w:p>
        </w:tc>
        <w:tc>
          <w:tcPr>
            <w:tcW w:w="2053" w:type="dxa"/>
          </w:tcPr>
          <w:p w:rsidR="00354084" w:rsidRPr="00073359" w:rsidRDefault="00354084" w:rsidP="00FB269C">
            <w:pPr>
              <w:pStyle w:val="BodyTextIndent2"/>
              <w:ind w:left="0"/>
              <w:jc w:val="left"/>
              <w:rPr>
                <w:rFonts w:ascii="Arial" w:hAnsi="Arial" w:cs="Arial"/>
              </w:rPr>
            </w:pPr>
            <w:r w:rsidRPr="00073359">
              <w:rPr>
                <w:rFonts w:ascii="Arial" w:hAnsi="Arial" w:cs="Arial"/>
              </w:rPr>
              <w:t>3,283</w:t>
            </w:r>
          </w:p>
        </w:tc>
        <w:tc>
          <w:tcPr>
            <w:tcW w:w="2023" w:type="dxa"/>
          </w:tcPr>
          <w:p w:rsidR="00354084" w:rsidRPr="00073359" w:rsidRDefault="00354084" w:rsidP="00073359">
            <w:pPr>
              <w:pStyle w:val="BodyTextIndent2"/>
              <w:ind w:left="0"/>
              <w:jc w:val="left"/>
              <w:rPr>
                <w:rFonts w:ascii="Arial" w:hAnsi="Arial" w:cs="Arial"/>
              </w:rPr>
            </w:pPr>
            <w:r w:rsidRPr="00073359">
              <w:rPr>
                <w:rFonts w:ascii="Arial" w:hAnsi="Arial" w:cs="Arial"/>
              </w:rPr>
              <w:t>1,</w:t>
            </w:r>
            <w:r w:rsidR="00073359">
              <w:rPr>
                <w:rFonts w:ascii="Arial" w:hAnsi="Arial" w:cs="Arial"/>
              </w:rPr>
              <w:t>241</w:t>
            </w:r>
          </w:p>
        </w:tc>
      </w:tr>
      <w:tr w:rsidR="00354084" w:rsidRPr="00073359" w:rsidTr="00FB269C">
        <w:tc>
          <w:tcPr>
            <w:tcW w:w="2042" w:type="dxa"/>
          </w:tcPr>
          <w:p w:rsidR="00354084" w:rsidRPr="00073359" w:rsidRDefault="00354084" w:rsidP="00FB269C">
            <w:pPr>
              <w:pStyle w:val="BodyTextIndent2"/>
              <w:ind w:left="0"/>
              <w:jc w:val="left"/>
              <w:rPr>
                <w:rFonts w:ascii="Arial" w:hAnsi="Arial" w:cs="Arial"/>
              </w:rPr>
            </w:pPr>
            <w:r w:rsidRPr="00073359">
              <w:rPr>
                <w:rFonts w:ascii="Arial" w:hAnsi="Arial" w:cs="Arial"/>
              </w:rPr>
              <w:t>Elective Centre</w:t>
            </w:r>
          </w:p>
        </w:tc>
        <w:tc>
          <w:tcPr>
            <w:tcW w:w="2053" w:type="dxa"/>
          </w:tcPr>
          <w:p w:rsidR="00354084" w:rsidRPr="00073359" w:rsidRDefault="00354084" w:rsidP="00FB269C">
            <w:pPr>
              <w:pStyle w:val="BodyTextIndent2"/>
              <w:ind w:left="0"/>
              <w:jc w:val="left"/>
              <w:rPr>
                <w:rFonts w:ascii="Arial" w:hAnsi="Arial" w:cs="Arial"/>
              </w:rPr>
            </w:pPr>
            <w:r w:rsidRPr="00073359">
              <w:rPr>
                <w:rFonts w:ascii="Arial" w:hAnsi="Arial" w:cs="Arial"/>
              </w:rPr>
              <w:t>250</w:t>
            </w:r>
          </w:p>
        </w:tc>
        <w:tc>
          <w:tcPr>
            <w:tcW w:w="2023" w:type="dxa"/>
          </w:tcPr>
          <w:p w:rsidR="00354084" w:rsidRPr="00073359" w:rsidRDefault="00354084" w:rsidP="00FB269C">
            <w:pPr>
              <w:pStyle w:val="BodyTextIndent2"/>
              <w:ind w:left="0"/>
              <w:jc w:val="left"/>
              <w:rPr>
                <w:rFonts w:ascii="Arial" w:hAnsi="Arial" w:cs="Arial"/>
              </w:rPr>
            </w:pPr>
            <w:r w:rsidRPr="00073359">
              <w:rPr>
                <w:rFonts w:ascii="Arial" w:hAnsi="Arial" w:cs="Arial"/>
              </w:rPr>
              <w:t>-</w:t>
            </w:r>
          </w:p>
        </w:tc>
      </w:tr>
      <w:tr w:rsidR="00354084" w:rsidRPr="00073359" w:rsidTr="00FB269C">
        <w:tc>
          <w:tcPr>
            <w:tcW w:w="2042" w:type="dxa"/>
          </w:tcPr>
          <w:p w:rsidR="00354084" w:rsidRPr="00073359" w:rsidRDefault="00354084" w:rsidP="00FB269C">
            <w:pPr>
              <w:pStyle w:val="BodyTextIndent2"/>
              <w:ind w:left="0"/>
              <w:jc w:val="left"/>
              <w:rPr>
                <w:rFonts w:ascii="Arial" w:hAnsi="Arial" w:cs="Arial"/>
                <w:b/>
              </w:rPr>
            </w:pPr>
            <w:r w:rsidRPr="00073359">
              <w:rPr>
                <w:rFonts w:ascii="Arial" w:hAnsi="Arial" w:cs="Arial"/>
                <w:b/>
              </w:rPr>
              <w:t>Total</w:t>
            </w:r>
          </w:p>
        </w:tc>
        <w:tc>
          <w:tcPr>
            <w:tcW w:w="2053" w:type="dxa"/>
          </w:tcPr>
          <w:p w:rsidR="00354084" w:rsidRPr="00073359" w:rsidRDefault="00354084" w:rsidP="00FB269C">
            <w:pPr>
              <w:pStyle w:val="BodyTextIndent2"/>
              <w:ind w:left="0"/>
              <w:jc w:val="left"/>
              <w:rPr>
                <w:rFonts w:ascii="Arial" w:hAnsi="Arial" w:cs="Arial"/>
                <w:b/>
              </w:rPr>
            </w:pPr>
            <w:r w:rsidRPr="00073359">
              <w:rPr>
                <w:rFonts w:ascii="Arial" w:hAnsi="Arial" w:cs="Arial"/>
                <w:b/>
              </w:rPr>
              <w:t>6,224</w:t>
            </w:r>
          </w:p>
        </w:tc>
        <w:tc>
          <w:tcPr>
            <w:tcW w:w="2023" w:type="dxa"/>
          </w:tcPr>
          <w:p w:rsidR="00354084" w:rsidRPr="00073359" w:rsidRDefault="00354084" w:rsidP="00073359">
            <w:pPr>
              <w:pStyle w:val="BodyTextIndent2"/>
              <w:ind w:left="0"/>
              <w:jc w:val="left"/>
              <w:rPr>
                <w:rFonts w:ascii="Arial" w:hAnsi="Arial" w:cs="Arial"/>
                <w:b/>
              </w:rPr>
            </w:pPr>
            <w:r w:rsidRPr="00073359">
              <w:rPr>
                <w:rFonts w:ascii="Arial" w:hAnsi="Arial" w:cs="Arial"/>
                <w:b/>
              </w:rPr>
              <w:t>1,</w:t>
            </w:r>
            <w:r w:rsidR="00073359">
              <w:rPr>
                <w:rFonts w:ascii="Arial" w:hAnsi="Arial" w:cs="Arial"/>
                <w:b/>
              </w:rPr>
              <w:t>472</w:t>
            </w:r>
          </w:p>
        </w:tc>
      </w:tr>
    </w:tbl>
    <w:p w:rsidR="00354084" w:rsidRPr="00073359" w:rsidRDefault="00354084" w:rsidP="00A44BE0">
      <w:pPr>
        <w:pStyle w:val="BodyTextIndent2"/>
        <w:ind w:left="360"/>
        <w:jc w:val="left"/>
        <w:rPr>
          <w:rFonts w:ascii="Arial" w:hAnsi="Arial" w:cs="Arial"/>
        </w:rPr>
      </w:pPr>
    </w:p>
    <w:p w:rsidR="00354084" w:rsidRPr="00073359" w:rsidRDefault="00354084" w:rsidP="00E21DC8">
      <w:pPr>
        <w:ind w:left="360"/>
        <w:rPr>
          <w:rFonts w:ascii="Arial" w:hAnsi="Arial" w:cs="Arial"/>
        </w:rPr>
      </w:pPr>
      <w:r w:rsidRPr="00073359">
        <w:rPr>
          <w:rFonts w:ascii="Arial" w:hAnsi="Arial" w:cs="Arial"/>
        </w:rPr>
        <w:lastRenderedPageBreak/>
        <w:t xml:space="preserve">The </w:t>
      </w:r>
      <w:r w:rsidRPr="00073359">
        <w:rPr>
          <w:rFonts w:ascii="Arial" w:hAnsi="Arial" w:cs="Arial"/>
          <w:b/>
        </w:rPr>
        <w:t>Formula Capital</w:t>
      </w:r>
      <w:r w:rsidRPr="00073359">
        <w:rPr>
          <w:rFonts w:ascii="Arial" w:hAnsi="Arial" w:cs="Arial"/>
        </w:rPr>
        <w:t xml:space="preserve"> spend is in line with anticipated spend for month six</w:t>
      </w:r>
      <w:r w:rsidR="00B56435">
        <w:rPr>
          <w:rFonts w:ascii="Arial" w:hAnsi="Arial" w:cs="Arial"/>
        </w:rPr>
        <w:t>. M</w:t>
      </w:r>
      <w:r w:rsidRPr="00073359">
        <w:rPr>
          <w:rFonts w:ascii="Arial" w:hAnsi="Arial" w:cs="Arial"/>
        </w:rPr>
        <w:t>eetings have been held with all leads in the main spend areas and business cases will be presented for the majority of spend by mid-December.  All major items have been tendered for in advance of the business cases being submitted to ensure that the most accurate price is included in the business case.</w:t>
      </w:r>
    </w:p>
    <w:p w:rsidR="00354084" w:rsidRPr="00073359" w:rsidRDefault="00354084" w:rsidP="00E21DC8">
      <w:pPr>
        <w:ind w:left="360"/>
        <w:rPr>
          <w:rFonts w:ascii="Arial" w:hAnsi="Arial" w:cs="Arial"/>
        </w:rPr>
      </w:pPr>
    </w:p>
    <w:p w:rsidR="00354084" w:rsidRPr="00073359" w:rsidRDefault="00354084" w:rsidP="00E21DC8">
      <w:pPr>
        <w:ind w:left="360"/>
        <w:rPr>
          <w:rFonts w:ascii="Arial" w:hAnsi="Arial" w:cs="Arial"/>
        </w:rPr>
      </w:pPr>
      <w:r w:rsidRPr="00073359">
        <w:rPr>
          <w:rFonts w:ascii="Arial" w:hAnsi="Arial" w:cs="Arial"/>
        </w:rPr>
        <w:t xml:space="preserve">The </w:t>
      </w:r>
      <w:r w:rsidRPr="00073359">
        <w:rPr>
          <w:rFonts w:ascii="Arial" w:hAnsi="Arial" w:cs="Arial"/>
          <w:b/>
        </w:rPr>
        <w:t>Capital Stimulus</w:t>
      </w:r>
      <w:r w:rsidRPr="00073359">
        <w:rPr>
          <w:rFonts w:ascii="Arial" w:hAnsi="Arial" w:cs="Arial"/>
        </w:rPr>
        <w:t xml:space="preserve"> spend in year relates to the MRI suite, including the two new MRI scanners.  At this point</w:t>
      </w:r>
      <w:r w:rsidR="00B56435">
        <w:rPr>
          <w:rFonts w:ascii="Arial" w:hAnsi="Arial" w:cs="Arial"/>
        </w:rPr>
        <w:t>,</w:t>
      </w:r>
      <w:r w:rsidRPr="00073359">
        <w:rPr>
          <w:rFonts w:ascii="Arial" w:hAnsi="Arial" w:cs="Arial"/>
        </w:rPr>
        <w:t xml:space="preserve"> it would appear that spend in year will be lower than budget, </w:t>
      </w:r>
      <w:r w:rsidR="002E6C31" w:rsidRPr="00073359">
        <w:rPr>
          <w:rFonts w:ascii="Arial" w:hAnsi="Arial" w:cs="Arial"/>
        </w:rPr>
        <w:t xml:space="preserve">with </w:t>
      </w:r>
      <w:r w:rsidRPr="00073359">
        <w:rPr>
          <w:rFonts w:ascii="Arial" w:hAnsi="Arial" w:cs="Arial"/>
        </w:rPr>
        <w:t xml:space="preserve">the final out-turn for the project </w:t>
      </w:r>
      <w:r w:rsidR="002E6C31" w:rsidRPr="00073359">
        <w:rPr>
          <w:rFonts w:ascii="Arial" w:hAnsi="Arial" w:cs="Arial"/>
        </w:rPr>
        <w:t xml:space="preserve">to be confirmed in </w:t>
      </w:r>
      <w:r w:rsidRPr="00073359">
        <w:rPr>
          <w:rFonts w:ascii="Arial" w:hAnsi="Arial" w:cs="Arial"/>
        </w:rPr>
        <w:t xml:space="preserve">early January.  </w:t>
      </w:r>
      <w:r w:rsidRPr="00E37A0F">
        <w:rPr>
          <w:rFonts w:ascii="Arial" w:hAnsi="Arial" w:cs="Arial"/>
        </w:rPr>
        <w:t>As agreed with SGHSCD</w:t>
      </w:r>
      <w:r w:rsidR="00BC1CAB">
        <w:rPr>
          <w:rFonts w:ascii="Arial" w:hAnsi="Arial" w:cs="Arial"/>
        </w:rPr>
        <w:t>,</w:t>
      </w:r>
      <w:r w:rsidRPr="00E37A0F">
        <w:rPr>
          <w:rFonts w:ascii="Arial" w:hAnsi="Arial" w:cs="Arial"/>
        </w:rPr>
        <w:t xml:space="preserve"> the residual balance in year will be carried over to 2018/19 to contribute to the ophthalmology project</w:t>
      </w:r>
      <w:r w:rsidR="002E6C31" w:rsidRPr="00E37A0F">
        <w:rPr>
          <w:rFonts w:ascii="Arial" w:hAnsi="Arial" w:cs="Arial"/>
        </w:rPr>
        <w:t xml:space="preserve"> and/or other increasing capacity projects</w:t>
      </w:r>
      <w:r w:rsidR="00073359" w:rsidRPr="00E37A0F">
        <w:rPr>
          <w:rFonts w:ascii="Arial" w:hAnsi="Arial" w:cs="Arial"/>
        </w:rPr>
        <w:t xml:space="preserve"> including the purchase of a second CT scanner.</w:t>
      </w:r>
    </w:p>
    <w:p w:rsidR="00354084" w:rsidRPr="00073359" w:rsidRDefault="00354084" w:rsidP="00E21DC8">
      <w:pPr>
        <w:ind w:left="360"/>
        <w:rPr>
          <w:rFonts w:ascii="Arial" w:hAnsi="Arial" w:cs="Arial"/>
        </w:rPr>
      </w:pPr>
    </w:p>
    <w:p w:rsidR="00C7637B" w:rsidRPr="00734FEB" w:rsidRDefault="0043562D" w:rsidP="00C7637B">
      <w:pPr>
        <w:ind w:left="360"/>
        <w:rPr>
          <w:rFonts w:ascii="Arial" w:hAnsi="Arial" w:cs="Arial"/>
        </w:rPr>
      </w:pPr>
      <w:r w:rsidRPr="00734FEB">
        <w:rPr>
          <w:rFonts w:ascii="Arial" w:hAnsi="Arial" w:cs="Arial"/>
        </w:rPr>
        <w:t xml:space="preserve">The </w:t>
      </w:r>
      <w:r w:rsidRPr="00734FEB">
        <w:rPr>
          <w:rFonts w:ascii="Arial" w:hAnsi="Arial" w:cs="Arial"/>
          <w:b/>
        </w:rPr>
        <w:t xml:space="preserve">Elective Centre </w:t>
      </w:r>
      <w:r w:rsidRPr="00734FEB">
        <w:rPr>
          <w:rFonts w:ascii="Arial" w:hAnsi="Arial" w:cs="Arial"/>
        </w:rPr>
        <w:t>spend in year relates to advisor fees which will be incurred in advance of building work being commenced.  These fees relate to Cost Advisor, Project Manager and Design costs for the PSCP.  In order to monitor this spend there are fortnightly cost control review meetings established to ensure that costs are monitored closely.  In addition, a formal cost control group chaired by the Director of Finance has been established to provide a single point of authority to ensure effective delivery of the Board’s expansion expenditure and investment plan and maintain a coordinated fiscal approach to all aspects of capital and revenue expenditure associated with the project, and the corresponding link to the Board’s capital investment plan.</w:t>
      </w:r>
    </w:p>
    <w:p w:rsidR="002A3FB7" w:rsidRPr="00734FEB" w:rsidRDefault="002A3FB7" w:rsidP="00073359">
      <w:pPr>
        <w:rPr>
          <w:rFonts w:ascii="Arial" w:hAnsi="Arial" w:cs="Arial"/>
        </w:rPr>
      </w:pPr>
    </w:p>
    <w:p w:rsidR="002E6C31" w:rsidRDefault="0043562D" w:rsidP="00E21DC8">
      <w:pPr>
        <w:ind w:left="360"/>
        <w:rPr>
          <w:rFonts w:ascii="Arial" w:hAnsi="Arial" w:cs="Arial"/>
        </w:rPr>
      </w:pPr>
      <w:r w:rsidRPr="00734FEB">
        <w:rPr>
          <w:rFonts w:ascii="Arial" w:hAnsi="Arial" w:cs="Arial"/>
        </w:rPr>
        <w:t xml:space="preserve">Following a detailed review of the revenue forecast to year-end, and the output from the work of the capital group in updating the capital plan, it is proposed to request </w:t>
      </w:r>
      <w:proofErr w:type="gramStart"/>
      <w:r w:rsidRPr="00734FEB">
        <w:rPr>
          <w:rFonts w:ascii="Arial" w:hAnsi="Arial" w:cs="Arial"/>
        </w:rPr>
        <w:t>a revenue</w:t>
      </w:r>
      <w:proofErr w:type="gramEnd"/>
      <w:r w:rsidRPr="00734FEB">
        <w:rPr>
          <w:rFonts w:ascii="Arial" w:hAnsi="Arial" w:cs="Arial"/>
        </w:rPr>
        <w:t xml:space="preserve"> to capital transfer of £1.6m; this would increase the formula allocation from £2.691m to £4.291m.  This would support capital spend brought forward from next year, recognising the likely pressures arising from the development of the expansion project and consideration of the Board role in developing robotic surgery</w:t>
      </w:r>
      <w:r w:rsidR="00734FEB">
        <w:rPr>
          <w:rFonts w:ascii="Arial" w:hAnsi="Arial" w:cs="Arial"/>
        </w:rPr>
        <w:t>.</w:t>
      </w:r>
    </w:p>
    <w:p w:rsidR="00073359" w:rsidRDefault="00073359" w:rsidP="00E21DC8">
      <w:pPr>
        <w:ind w:left="360"/>
        <w:rPr>
          <w:rFonts w:ascii="Arial" w:hAnsi="Arial" w:cs="Arial"/>
        </w:rPr>
      </w:pPr>
    </w:p>
    <w:p w:rsidR="00073359" w:rsidRPr="00E37A0F" w:rsidRDefault="00073359" w:rsidP="00E21DC8">
      <w:pPr>
        <w:ind w:left="360"/>
        <w:rPr>
          <w:rFonts w:ascii="Arial" w:hAnsi="Arial" w:cs="Arial"/>
        </w:rPr>
      </w:pPr>
      <w:r w:rsidRPr="00E37A0F">
        <w:rPr>
          <w:rFonts w:ascii="Arial" w:hAnsi="Arial" w:cs="Arial"/>
        </w:rPr>
        <w:t>The £1.6m revenue which is</w:t>
      </w:r>
      <w:r w:rsidR="006631E6" w:rsidRPr="00E37A0F">
        <w:rPr>
          <w:rFonts w:ascii="Arial" w:hAnsi="Arial" w:cs="Arial"/>
        </w:rPr>
        <w:t xml:space="preserve"> now</w:t>
      </w:r>
      <w:r w:rsidRPr="00E37A0F">
        <w:rPr>
          <w:rFonts w:ascii="Arial" w:hAnsi="Arial" w:cs="Arial"/>
        </w:rPr>
        <w:t xml:space="preserve"> available to transfer to capital has arisen due to the following:</w:t>
      </w:r>
    </w:p>
    <w:p w:rsidR="00073359" w:rsidRPr="00E37A0F" w:rsidRDefault="00073359" w:rsidP="00E21DC8">
      <w:pPr>
        <w:ind w:left="360"/>
        <w:rPr>
          <w:rFonts w:ascii="Arial" w:hAnsi="Arial" w:cs="Arial"/>
        </w:rPr>
      </w:pPr>
    </w:p>
    <w:p w:rsidR="006631E6" w:rsidRPr="00E37A0F" w:rsidRDefault="00BC1CAB" w:rsidP="00073359">
      <w:pPr>
        <w:pStyle w:val="ListParagraph"/>
        <w:numPr>
          <w:ilvl w:val="0"/>
          <w:numId w:val="28"/>
        </w:numPr>
        <w:rPr>
          <w:rFonts w:ascii="Arial" w:hAnsi="Arial" w:cs="Arial"/>
          <w:sz w:val="24"/>
        </w:rPr>
      </w:pPr>
      <w:r>
        <w:rPr>
          <w:rFonts w:ascii="Arial" w:hAnsi="Arial" w:cs="Arial"/>
          <w:sz w:val="24"/>
        </w:rPr>
        <w:t>v</w:t>
      </w:r>
      <w:r w:rsidR="00F01929" w:rsidRPr="00E37A0F">
        <w:rPr>
          <w:rFonts w:ascii="Arial" w:hAnsi="Arial" w:cs="Arial"/>
          <w:sz w:val="24"/>
        </w:rPr>
        <w:t xml:space="preserve">alue of inflation which was included in the financial plan which has been a lower value than planned; </w:t>
      </w:r>
    </w:p>
    <w:p w:rsidR="00F01929" w:rsidRPr="00E37A0F" w:rsidRDefault="00BC1CAB" w:rsidP="00073359">
      <w:pPr>
        <w:pStyle w:val="ListParagraph"/>
        <w:numPr>
          <w:ilvl w:val="0"/>
          <w:numId w:val="28"/>
        </w:numPr>
        <w:rPr>
          <w:rFonts w:ascii="Arial" w:hAnsi="Arial" w:cs="Arial"/>
          <w:sz w:val="24"/>
        </w:rPr>
      </w:pPr>
      <w:r>
        <w:rPr>
          <w:rFonts w:ascii="Arial" w:hAnsi="Arial" w:cs="Arial"/>
          <w:sz w:val="24"/>
        </w:rPr>
        <w:t>f</w:t>
      </w:r>
      <w:r w:rsidR="00F01929" w:rsidRPr="00E37A0F">
        <w:rPr>
          <w:rFonts w:ascii="Arial" w:hAnsi="Arial" w:cs="Arial"/>
          <w:sz w:val="24"/>
        </w:rPr>
        <w:t>unding included in the financial plan for pressure</w:t>
      </w:r>
      <w:r w:rsidR="006631E6" w:rsidRPr="00E37A0F">
        <w:rPr>
          <w:rFonts w:ascii="Arial" w:hAnsi="Arial" w:cs="Arial"/>
          <w:sz w:val="24"/>
        </w:rPr>
        <w:t>s which have not arisen in year;</w:t>
      </w:r>
      <w:r w:rsidR="001226E2" w:rsidRPr="00E37A0F">
        <w:rPr>
          <w:rFonts w:ascii="Arial" w:hAnsi="Arial" w:cs="Arial"/>
          <w:sz w:val="24"/>
        </w:rPr>
        <w:t xml:space="preserve"> and</w:t>
      </w:r>
    </w:p>
    <w:p w:rsidR="002E6C31" w:rsidRPr="00E37A0F" w:rsidRDefault="00BC1CAB" w:rsidP="001226E2">
      <w:pPr>
        <w:pStyle w:val="ListParagraph"/>
        <w:numPr>
          <w:ilvl w:val="0"/>
          <w:numId w:val="28"/>
        </w:numPr>
        <w:rPr>
          <w:rFonts w:ascii="Arial" w:hAnsi="Arial" w:cs="Arial"/>
          <w:sz w:val="24"/>
        </w:rPr>
      </w:pPr>
      <w:proofErr w:type="gramStart"/>
      <w:r>
        <w:rPr>
          <w:rFonts w:ascii="Arial" w:hAnsi="Arial" w:cs="Arial"/>
          <w:sz w:val="24"/>
        </w:rPr>
        <w:t>h</w:t>
      </w:r>
      <w:r w:rsidR="006631E6" w:rsidRPr="00E37A0F">
        <w:rPr>
          <w:rFonts w:ascii="Arial" w:hAnsi="Arial" w:cs="Arial"/>
          <w:sz w:val="24"/>
        </w:rPr>
        <w:t>igher</w:t>
      </w:r>
      <w:proofErr w:type="gramEnd"/>
      <w:r w:rsidR="006631E6" w:rsidRPr="00E37A0F">
        <w:rPr>
          <w:rFonts w:ascii="Arial" w:hAnsi="Arial" w:cs="Arial"/>
          <w:sz w:val="24"/>
        </w:rPr>
        <w:t xml:space="preserve"> than anticipated non-recurring efficiency savings.</w:t>
      </w:r>
    </w:p>
    <w:p w:rsidR="002A3FB7" w:rsidRPr="00C34B52" w:rsidRDefault="000E52CC" w:rsidP="00E21DC8">
      <w:pPr>
        <w:ind w:left="360"/>
        <w:rPr>
          <w:rFonts w:ascii="Arial" w:hAnsi="Arial" w:cs="Arial"/>
        </w:rPr>
      </w:pPr>
      <w:r w:rsidRPr="00073359">
        <w:rPr>
          <w:rFonts w:ascii="Arial" w:hAnsi="Arial" w:cs="Arial"/>
        </w:rPr>
        <w:t>Discussions with SGHSCD have been held with regard to this funding movement.  Prior to the position being finalised</w:t>
      </w:r>
      <w:r w:rsidR="00BC1CAB">
        <w:rPr>
          <w:rFonts w:ascii="Arial" w:hAnsi="Arial" w:cs="Arial"/>
        </w:rPr>
        <w:t>,</w:t>
      </w:r>
      <w:r w:rsidRPr="00073359">
        <w:rPr>
          <w:rFonts w:ascii="Arial" w:hAnsi="Arial" w:cs="Arial"/>
        </w:rPr>
        <w:t xml:space="preserve"> approval will be sought from the Board.</w:t>
      </w:r>
    </w:p>
    <w:p w:rsidR="00354084" w:rsidRDefault="00354084" w:rsidP="006D4EC5">
      <w:pPr>
        <w:rPr>
          <w:rFonts w:ascii="Arial" w:hAnsi="Arial" w:cs="Arial"/>
        </w:rPr>
      </w:pPr>
    </w:p>
    <w:p w:rsidR="00354084" w:rsidRDefault="00354084" w:rsidP="00E23B04">
      <w:pPr>
        <w:pStyle w:val="Heading4"/>
        <w:numPr>
          <w:ilvl w:val="0"/>
          <w:numId w:val="3"/>
        </w:numPr>
        <w:rPr>
          <w:rFonts w:ascii="Arial" w:hAnsi="Arial" w:cs="Arial"/>
        </w:rPr>
      </w:pPr>
      <w:r>
        <w:rPr>
          <w:rFonts w:ascii="Arial" w:hAnsi="Arial" w:cs="Arial"/>
        </w:rPr>
        <w:t>Efficiency Savings</w:t>
      </w:r>
    </w:p>
    <w:p w:rsidR="00354084" w:rsidRPr="007D6BFC" w:rsidRDefault="00354084" w:rsidP="00E23B04"/>
    <w:p w:rsidR="00354084" w:rsidRDefault="00E71E60" w:rsidP="00CB6C66">
      <w:pPr>
        <w:ind w:left="360"/>
        <w:rPr>
          <w:rFonts w:ascii="Arial" w:hAnsi="Arial" w:cs="Arial"/>
        </w:rPr>
      </w:pPr>
      <w:r>
        <w:rPr>
          <w:rFonts w:ascii="Arial" w:hAnsi="Arial" w:cs="Arial"/>
        </w:rPr>
        <w:t>At month seven</w:t>
      </w:r>
      <w:r w:rsidR="00BC1CAB">
        <w:rPr>
          <w:rFonts w:ascii="Arial" w:hAnsi="Arial" w:cs="Arial"/>
        </w:rPr>
        <w:t>,</w:t>
      </w:r>
      <w:r>
        <w:rPr>
          <w:rFonts w:ascii="Arial" w:hAnsi="Arial" w:cs="Arial"/>
        </w:rPr>
        <w:t xml:space="preserve"> </w:t>
      </w:r>
      <w:r w:rsidR="00354084">
        <w:rPr>
          <w:rFonts w:ascii="Arial" w:hAnsi="Arial" w:cs="Arial"/>
        </w:rPr>
        <w:t xml:space="preserve">total </w:t>
      </w:r>
      <w:r w:rsidR="00354084" w:rsidRPr="00EF2EDC">
        <w:rPr>
          <w:rFonts w:ascii="Arial" w:hAnsi="Arial" w:cs="Arial"/>
        </w:rPr>
        <w:t>efficiency savings delivered were £</w:t>
      </w:r>
      <w:r w:rsidR="00354084">
        <w:rPr>
          <w:rFonts w:ascii="Arial" w:hAnsi="Arial" w:cs="Arial"/>
        </w:rPr>
        <w:t>2</w:t>
      </w:r>
      <w:r w:rsidR="00354084" w:rsidRPr="00EF2EDC">
        <w:rPr>
          <w:rFonts w:ascii="Arial" w:hAnsi="Arial" w:cs="Arial"/>
        </w:rPr>
        <w:t>.</w:t>
      </w:r>
      <w:r w:rsidR="00CD7A94">
        <w:rPr>
          <w:rFonts w:ascii="Arial" w:hAnsi="Arial" w:cs="Arial"/>
        </w:rPr>
        <w:t>800</w:t>
      </w:r>
      <w:r w:rsidR="00354084" w:rsidRPr="00EF2EDC">
        <w:rPr>
          <w:rFonts w:ascii="Arial" w:hAnsi="Arial" w:cs="Arial"/>
        </w:rPr>
        <w:t>m against a</w:t>
      </w:r>
      <w:r w:rsidR="00BC1CAB">
        <w:rPr>
          <w:rFonts w:ascii="Arial" w:hAnsi="Arial" w:cs="Arial"/>
        </w:rPr>
        <w:t xml:space="preserve"> Local Delivery Plan (</w:t>
      </w:r>
      <w:r w:rsidR="00354084" w:rsidRPr="00EF2EDC">
        <w:rPr>
          <w:rFonts w:ascii="Arial" w:hAnsi="Arial" w:cs="Arial"/>
        </w:rPr>
        <w:t>LDP</w:t>
      </w:r>
      <w:r w:rsidR="00BC1CAB">
        <w:rPr>
          <w:rFonts w:ascii="Arial" w:hAnsi="Arial" w:cs="Arial"/>
        </w:rPr>
        <w:t>)</w:t>
      </w:r>
      <w:r w:rsidR="00354084" w:rsidRPr="00EF2EDC">
        <w:rPr>
          <w:rFonts w:ascii="Arial" w:hAnsi="Arial" w:cs="Arial"/>
        </w:rPr>
        <w:t xml:space="preserve"> target of £</w:t>
      </w:r>
      <w:r w:rsidR="00354084">
        <w:rPr>
          <w:rFonts w:ascii="Arial" w:hAnsi="Arial" w:cs="Arial"/>
        </w:rPr>
        <w:t>2</w:t>
      </w:r>
      <w:r w:rsidR="00CD7A94">
        <w:rPr>
          <w:rFonts w:ascii="Arial" w:hAnsi="Arial" w:cs="Arial"/>
        </w:rPr>
        <w:t>.558</w:t>
      </w:r>
      <w:r w:rsidR="00354084" w:rsidRPr="00EF2EDC">
        <w:rPr>
          <w:rFonts w:ascii="Arial" w:hAnsi="Arial" w:cs="Arial"/>
        </w:rPr>
        <w:t>m,</w:t>
      </w:r>
      <w:r w:rsidR="0015424C">
        <w:rPr>
          <w:rFonts w:ascii="Arial" w:hAnsi="Arial" w:cs="Arial"/>
        </w:rPr>
        <w:t xml:space="preserve"> reporting £</w:t>
      </w:r>
      <w:r w:rsidR="00CD7A94">
        <w:rPr>
          <w:rFonts w:ascii="Arial" w:hAnsi="Arial" w:cs="Arial"/>
        </w:rPr>
        <w:t>242</w:t>
      </w:r>
      <w:r w:rsidR="00354084">
        <w:rPr>
          <w:rFonts w:ascii="Arial" w:hAnsi="Arial" w:cs="Arial"/>
        </w:rPr>
        <w:t>k favourable performance against plan at this stage</w:t>
      </w:r>
      <w:r w:rsidR="00354084" w:rsidRPr="00EF2EDC">
        <w:rPr>
          <w:rFonts w:ascii="Arial" w:hAnsi="Arial" w:cs="Arial"/>
        </w:rPr>
        <w:t xml:space="preserve">. </w:t>
      </w:r>
      <w:r w:rsidR="00354084">
        <w:rPr>
          <w:rFonts w:ascii="Arial" w:hAnsi="Arial" w:cs="Arial"/>
        </w:rPr>
        <w:t>This is ahead of the planned trajectory and we expect to meet our Board efficiency savings annual target at this stage.</w:t>
      </w:r>
    </w:p>
    <w:p w:rsidR="00354084" w:rsidRDefault="00354084" w:rsidP="00486236">
      <w:pPr>
        <w:rPr>
          <w:rFonts w:ascii="Arial" w:hAnsi="Arial" w:cs="Arial"/>
        </w:rPr>
      </w:pPr>
    </w:p>
    <w:p w:rsidR="00354084" w:rsidRDefault="0015424C" w:rsidP="00E23B04">
      <w:pPr>
        <w:ind w:left="360"/>
        <w:rPr>
          <w:rFonts w:ascii="Arial" w:hAnsi="Arial" w:cs="Arial"/>
        </w:rPr>
      </w:pPr>
      <w:r>
        <w:rPr>
          <w:rFonts w:ascii="Arial" w:hAnsi="Arial" w:cs="Arial"/>
        </w:rPr>
        <w:lastRenderedPageBreak/>
        <w:t>The</w:t>
      </w:r>
      <w:r w:rsidR="00354084" w:rsidRPr="00EF2EDC">
        <w:rPr>
          <w:rFonts w:ascii="Arial" w:hAnsi="Arial" w:cs="Arial"/>
        </w:rPr>
        <w:t xml:space="preserve"> </w:t>
      </w:r>
      <w:r w:rsidR="00354084">
        <w:rPr>
          <w:rFonts w:ascii="Arial" w:hAnsi="Arial" w:cs="Arial"/>
        </w:rPr>
        <w:t xml:space="preserve">savings achieved to date are </w:t>
      </w:r>
      <w:r w:rsidR="00354084" w:rsidRPr="00EF2EDC">
        <w:rPr>
          <w:rFonts w:ascii="Arial" w:hAnsi="Arial" w:cs="Arial"/>
        </w:rPr>
        <w:t>split with recurring efficiency</w:t>
      </w:r>
      <w:r w:rsidRPr="00EF2EDC">
        <w:rPr>
          <w:rFonts w:ascii="Arial" w:hAnsi="Arial" w:cs="Arial"/>
        </w:rPr>
        <w:t xml:space="preserve"> </w:t>
      </w:r>
      <w:r w:rsidR="00354084" w:rsidRPr="00EF2EDC">
        <w:rPr>
          <w:rFonts w:ascii="Arial" w:hAnsi="Arial" w:cs="Arial"/>
        </w:rPr>
        <w:t xml:space="preserve">savings achieved </w:t>
      </w:r>
      <w:r>
        <w:rPr>
          <w:rFonts w:ascii="Arial" w:hAnsi="Arial" w:cs="Arial"/>
        </w:rPr>
        <w:t xml:space="preserve">of </w:t>
      </w:r>
      <w:r w:rsidR="00354084" w:rsidRPr="00EF2EDC">
        <w:rPr>
          <w:rFonts w:ascii="Arial" w:hAnsi="Arial" w:cs="Arial"/>
        </w:rPr>
        <w:t>£</w:t>
      </w:r>
      <w:r>
        <w:rPr>
          <w:rFonts w:ascii="Arial" w:hAnsi="Arial" w:cs="Arial"/>
        </w:rPr>
        <w:t>2.224</w:t>
      </w:r>
      <w:r w:rsidR="00354084">
        <w:rPr>
          <w:rFonts w:ascii="Arial" w:hAnsi="Arial" w:cs="Arial"/>
        </w:rPr>
        <w:t>m</w:t>
      </w:r>
      <w:r w:rsidR="00354084" w:rsidRPr="00EF2EDC">
        <w:rPr>
          <w:rFonts w:ascii="Arial" w:hAnsi="Arial" w:cs="Arial"/>
        </w:rPr>
        <w:t xml:space="preserve"> and non</w:t>
      </w:r>
      <w:r w:rsidR="00BC1CAB">
        <w:rPr>
          <w:rFonts w:ascii="Arial" w:hAnsi="Arial" w:cs="Arial"/>
        </w:rPr>
        <w:t>-</w:t>
      </w:r>
      <w:r w:rsidR="00354084" w:rsidRPr="00EF2EDC">
        <w:rPr>
          <w:rFonts w:ascii="Arial" w:hAnsi="Arial" w:cs="Arial"/>
        </w:rPr>
        <w:t>recurring savings of £</w:t>
      </w:r>
      <w:r>
        <w:rPr>
          <w:rFonts w:ascii="Arial" w:hAnsi="Arial" w:cs="Arial"/>
        </w:rPr>
        <w:t>0.</w:t>
      </w:r>
      <w:r w:rsidR="00354084">
        <w:rPr>
          <w:rFonts w:ascii="Arial" w:hAnsi="Arial" w:cs="Arial"/>
        </w:rPr>
        <w:t>5</w:t>
      </w:r>
      <w:r>
        <w:rPr>
          <w:rFonts w:ascii="Arial" w:hAnsi="Arial" w:cs="Arial"/>
        </w:rPr>
        <w:t>67</w:t>
      </w:r>
      <w:r w:rsidR="00354084">
        <w:rPr>
          <w:rFonts w:ascii="Arial" w:hAnsi="Arial" w:cs="Arial"/>
        </w:rPr>
        <w:t>m</w:t>
      </w:r>
      <w:r>
        <w:rPr>
          <w:rFonts w:ascii="Arial" w:hAnsi="Arial" w:cs="Arial"/>
        </w:rPr>
        <w:t xml:space="preserve">. </w:t>
      </w:r>
      <w:r w:rsidR="00354084" w:rsidRPr="00EF2EDC">
        <w:rPr>
          <w:rFonts w:ascii="Arial" w:hAnsi="Arial" w:cs="Arial"/>
        </w:rPr>
        <w:t>Details of this are included in Appendix 1, page 5.</w:t>
      </w:r>
      <w:r w:rsidR="00354084" w:rsidRPr="0005218C">
        <w:rPr>
          <w:rFonts w:ascii="Arial" w:hAnsi="Arial" w:cs="Arial"/>
        </w:rPr>
        <w:t xml:space="preserve">  </w:t>
      </w:r>
    </w:p>
    <w:p w:rsidR="00354084" w:rsidRDefault="00354084" w:rsidP="00E23B04">
      <w:pPr>
        <w:ind w:left="360"/>
        <w:rPr>
          <w:rFonts w:ascii="Arial" w:hAnsi="Arial" w:cs="Arial"/>
        </w:rPr>
      </w:pPr>
    </w:p>
    <w:p w:rsidR="00354084" w:rsidRDefault="00354084" w:rsidP="00E23B04">
      <w:pPr>
        <w:ind w:left="360"/>
        <w:rPr>
          <w:rFonts w:ascii="Arial" w:hAnsi="Arial" w:cs="Arial"/>
        </w:rPr>
      </w:pPr>
      <w:r>
        <w:rPr>
          <w:rFonts w:ascii="Arial" w:hAnsi="Arial" w:cs="Arial"/>
        </w:rPr>
        <w:t xml:space="preserve">The key movements </w:t>
      </w:r>
      <w:r w:rsidR="00BC1CAB">
        <w:rPr>
          <w:rFonts w:ascii="Arial" w:hAnsi="Arial" w:cs="Arial"/>
        </w:rPr>
        <w:t>are described below.</w:t>
      </w:r>
    </w:p>
    <w:p w:rsidR="0015424C" w:rsidRDefault="0015424C" w:rsidP="00E23B04">
      <w:pPr>
        <w:ind w:left="360"/>
        <w:rPr>
          <w:rFonts w:ascii="Arial" w:hAnsi="Arial" w:cs="Arial"/>
        </w:rPr>
      </w:pPr>
    </w:p>
    <w:p w:rsidR="0015424C" w:rsidRDefault="0015424C" w:rsidP="0015424C">
      <w:pPr>
        <w:pStyle w:val="BodyTextIndent3"/>
        <w:numPr>
          <w:ilvl w:val="0"/>
          <w:numId w:val="16"/>
        </w:numPr>
        <w:jc w:val="left"/>
        <w:rPr>
          <w:rFonts w:ascii="Arial" w:hAnsi="Arial" w:cs="Arial"/>
        </w:rPr>
      </w:pPr>
      <w:r>
        <w:rPr>
          <w:rFonts w:ascii="Arial" w:hAnsi="Arial" w:cs="Arial"/>
        </w:rPr>
        <w:t xml:space="preserve">A movement between recurring and non-recurring categories in recognition of the year on year achievement of Orthopaedic Theatre surgical supplies efficiencies identifies as non-recurring in nature but continued each year for the last </w:t>
      </w:r>
      <w:r w:rsidR="00BC1CAB">
        <w:rPr>
          <w:rFonts w:ascii="Arial" w:hAnsi="Arial" w:cs="Arial"/>
        </w:rPr>
        <w:t>three</w:t>
      </w:r>
      <w:r>
        <w:rPr>
          <w:rFonts w:ascii="Arial" w:hAnsi="Arial" w:cs="Arial"/>
        </w:rPr>
        <w:t xml:space="preserve"> financial years</w:t>
      </w:r>
      <w:r w:rsidR="00BC1CAB">
        <w:rPr>
          <w:rFonts w:ascii="Arial" w:hAnsi="Arial" w:cs="Arial"/>
        </w:rPr>
        <w:t>.</w:t>
      </w:r>
    </w:p>
    <w:p w:rsidR="00354084" w:rsidRDefault="009B71AD" w:rsidP="00810A57">
      <w:pPr>
        <w:pStyle w:val="BodyTextIndent3"/>
        <w:numPr>
          <w:ilvl w:val="0"/>
          <w:numId w:val="16"/>
        </w:numPr>
        <w:jc w:val="left"/>
        <w:rPr>
          <w:rFonts w:ascii="Arial" w:hAnsi="Arial" w:cs="Arial"/>
        </w:rPr>
      </w:pPr>
      <w:r>
        <w:rPr>
          <w:rFonts w:ascii="Arial" w:hAnsi="Arial" w:cs="Arial"/>
        </w:rPr>
        <w:t xml:space="preserve">Implementation of the reduced sessional rate for Cardiac Anaesthesia </w:t>
      </w:r>
      <w:r w:rsidR="005562D8">
        <w:rPr>
          <w:rFonts w:ascii="Arial" w:hAnsi="Arial" w:cs="Arial"/>
        </w:rPr>
        <w:t xml:space="preserve">waiting list </w:t>
      </w:r>
      <w:r>
        <w:rPr>
          <w:rFonts w:ascii="Arial" w:hAnsi="Arial" w:cs="Arial"/>
        </w:rPr>
        <w:t>sessions</w:t>
      </w:r>
      <w:r w:rsidR="00BC1CAB">
        <w:rPr>
          <w:rFonts w:ascii="Arial" w:hAnsi="Arial" w:cs="Arial"/>
        </w:rPr>
        <w:t>.</w:t>
      </w:r>
    </w:p>
    <w:p w:rsidR="00354084" w:rsidRDefault="00354084" w:rsidP="000902EB">
      <w:pPr>
        <w:rPr>
          <w:rFonts w:ascii="Arial" w:hAnsi="Arial" w:cs="Arial"/>
        </w:rPr>
      </w:pPr>
    </w:p>
    <w:p w:rsidR="00354084" w:rsidRDefault="00354084" w:rsidP="00E23B04">
      <w:pPr>
        <w:pStyle w:val="Heading4"/>
        <w:numPr>
          <w:ilvl w:val="0"/>
          <w:numId w:val="3"/>
        </w:numPr>
        <w:rPr>
          <w:rFonts w:ascii="Arial" w:hAnsi="Arial" w:cs="Arial"/>
        </w:rPr>
      </w:pPr>
      <w:r w:rsidRPr="00FB7212">
        <w:rPr>
          <w:rFonts w:ascii="Arial" w:hAnsi="Arial" w:cs="Arial"/>
        </w:rPr>
        <w:t>Conclusion</w:t>
      </w:r>
    </w:p>
    <w:p w:rsidR="00354084" w:rsidRPr="00FB7212" w:rsidRDefault="00354084">
      <w:pPr>
        <w:rPr>
          <w:rFonts w:ascii="Arial" w:hAnsi="Arial" w:cs="Arial"/>
          <w:b/>
          <w:bCs/>
          <w:sz w:val="16"/>
          <w:szCs w:val="20"/>
        </w:rPr>
      </w:pPr>
    </w:p>
    <w:p w:rsidR="00B56435" w:rsidRPr="00682309" w:rsidRDefault="00B56435" w:rsidP="00B56435">
      <w:pPr>
        <w:tabs>
          <w:tab w:val="left" w:pos="3261"/>
        </w:tabs>
        <w:ind w:left="284" w:right="183"/>
        <w:jc w:val="both"/>
        <w:rPr>
          <w:rFonts w:ascii="Arial" w:hAnsi="Arial" w:cs="Arial"/>
        </w:rPr>
      </w:pPr>
      <w:r w:rsidRPr="00B56435">
        <w:rPr>
          <w:rFonts w:ascii="Arial" w:hAnsi="Arial" w:cs="Arial"/>
          <w:bCs/>
        </w:rPr>
        <w:t>Board M</w:t>
      </w:r>
      <w:r w:rsidRPr="00FB7212">
        <w:rPr>
          <w:rFonts w:ascii="Arial" w:hAnsi="Arial" w:cs="Arial"/>
        </w:rPr>
        <w:t xml:space="preserve">embers are asked to </w:t>
      </w:r>
      <w:r>
        <w:rPr>
          <w:rFonts w:ascii="Arial" w:hAnsi="Arial" w:cs="Arial"/>
        </w:rPr>
        <w:t>discuss and note the r</w:t>
      </w:r>
      <w:r w:rsidRPr="00FB7212">
        <w:rPr>
          <w:rFonts w:ascii="Arial" w:hAnsi="Arial" w:cs="Arial"/>
        </w:rPr>
        <w:t>eport</w:t>
      </w:r>
      <w:r>
        <w:rPr>
          <w:rFonts w:ascii="Arial" w:hAnsi="Arial" w:cs="Arial"/>
        </w:rPr>
        <w:t xml:space="preserve"> </w:t>
      </w:r>
      <w:r w:rsidRPr="00FB7212">
        <w:rPr>
          <w:rFonts w:ascii="Arial" w:hAnsi="Arial" w:cs="Arial"/>
        </w:rPr>
        <w:t xml:space="preserve">for the period to </w:t>
      </w:r>
      <w:r>
        <w:rPr>
          <w:rFonts w:ascii="Arial" w:hAnsi="Arial" w:cs="Arial"/>
        </w:rPr>
        <w:t>31 October 2017</w:t>
      </w:r>
    </w:p>
    <w:p w:rsidR="00354084" w:rsidRDefault="00354084">
      <w:pPr>
        <w:pStyle w:val="Heading2"/>
        <w:rPr>
          <w:rFonts w:ascii="Arial" w:hAnsi="Arial" w:cs="Arial"/>
          <w:bCs w:val="0"/>
        </w:rPr>
      </w:pPr>
    </w:p>
    <w:p w:rsidR="00354084" w:rsidRPr="00FB7212" w:rsidRDefault="00354084">
      <w:pPr>
        <w:pStyle w:val="Heading2"/>
        <w:rPr>
          <w:rFonts w:ascii="Arial" w:hAnsi="Arial" w:cs="Arial"/>
          <w:bCs w:val="0"/>
        </w:rPr>
      </w:pPr>
      <w:r w:rsidRPr="00FB7212">
        <w:rPr>
          <w:rFonts w:ascii="Arial" w:hAnsi="Arial" w:cs="Arial"/>
          <w:bCs w:val="0"/>
        </w:rPr>
        <w:t>Julie Carter</w:t>
      </w:r>
    </w:p>
    <w:p w:rsidR="00354084" w:rsidRPr="00FB7212" w:rsidRDefault="00354084">
      <w:pPr>
        <w:rPr>
          <w:rFonts w:ascii="Arial" w:hAnsi="Arial" w:cs="Arial"/>
          <w:b/>
        </w:rPr>
      </w:pPr>
      <w:r w:rsidRPr="00FB7212">
        <w:rPr>
          <w:rFonts w:ascii="Arial" w:hAnsi="Arial" w:cs="Arial"/>
          <w:b/>
        </w:rPr>
        <w:t>Director of Finance</w:t>
      </w:r>
    </w:p>
    <w:p w:rsidR="00354084" w:rsidRDefault="009B71AD" w:rsidP="00700075">
      <w:pPr>
        <w:rPr>
          <w:rFonts w:ascii="Arial" w:hAnsi="Arial" w:cs="Arial"/>
          <w:b/>
        </w:rPr>
      </w:pPr>
      <w:r>
        <w:rPr>
          <w:rFonts w:ascii="Arial" w:hAnsi="Arial" w:cs="Arial"/>
          <w:b/>
        </w:rPr>
        <w:t>21 Novem</w:t>
      </w:r>
      <w:r w:rsidR="00354084">
        <w:rPr>
          <w:rFonts w:ascii="Arial" w:hAnsi="Arial" w:cs="Arial"/>
          <w:b/>
        </w:rPr>
        <w:t>ber 2017</w:t>
      </w:r>
    </w:p>
    <w:p w:rsidR="00354084" w:rsidRDefault="00354084" w:rsidP="00700075">
      <w:pPr>
        <w:rPr>
          <w:rFonts w:ascii="Arial" w:hAnsi="Arial" w:cs="Arial"/>
          <w:b/>
        </w:rPr>
      </w:pPr>
    </w:p>
    <w:p w:rsidR="00B56435" w:rsidRDefault="00B56435" w:rsidP="00B56435">
      <w:pPr>
        <w:pStyle w:val="BodyTextIndent"/>
        <w:ind w:left="0"/>
        <w:rPr>
          <w:rFonts w:ascii="Arial" w:hAnsi="Arial" w:cs="Arial"/>
        </w:rPr>
      </w:pPr>
      <w:r w:rsidRPr="00B47B01">
        <w:rPr>
          <w:rFonts w:ascii="Arial" w:hAnsi="Arial" w:cs="Arial"/>
        </w:rPr>
        <w:t>(Lily Bryson</w:t>
      </w:r>
      <w:r w:rsidR="00BC1CAB">
        <w:rPr>
          <w:rFonts w:ascii="Arial" w:hAnsi="Arial" w:cs="Arial"/>
        </w:rPr>
        <w:t xml:space="preserve">, </w:t>
      </w:r>
      <w:r>
        <w:rPr>
          <w:rFonts w:ascii="Arial" w:hAnsi="Arial" w:cs="Arial"/>
        </w:rPr>
        <w:t>Assistant</w:t>
      </w:r>
      <w:r w:rsidRPr="00B47B01">
        <w:rPr>
          <w:rFonts w:ascii="Arial" w:hAnsi="Arial" w:cs="Arial"/>
        </w:rPr>
        <w:t xml:space="preserve"> Director of Finance</w:t>
      </w:r>
      <w:r>
        <w:rPr>
          <w:rFonts w:ascii="Arial" w:hAnsi="Arial" w:cs="Arial"/>
        </w:rPr>
        <w:t xml:space="preserve"> – Governance and Financial Accounting)</w:t>
      </w:r>
    </w:p>
    <w:p w:rsidR="00B56435" w:rsidRPr="0072590E" w:rsidRDefault="00B56435" w:rsidP="00B56435">
      <w:pPr>
        <w:pStyle w:val="BodyTextIndent"/>
        <w:ind w:left="0"/>
        <w:rPr>
          <w:rFonts w:ascii="Arial" w:hAnsi="Arial" w:cs="Arial"/>
        </w:rPr>
      </w:pPr>
      <w:r>
        <w:rPr>
          <w:rFonts w:ascii="Arial" w:hAnsi="Arial" w:cs="Arial"/>
        </w:rPr>
        <w:t>(Elizabeth O’Brien</w:t>
      </w:r>
      <w:r w:rsidR="00BC1CAB">
        <w:rPr>
          <w:rFonts w:ascii="Arial" w:hAnsi="Arial" w:cs="Arial"/>
        </w:rPr>
        <w:t xml:space="preserve">, </w:t>
      </w:r>
      <w:r>
        <w:rPr>
          <w:rFonts w:ascii="Arial" w:hAnsi="Arial" w:cs="Arial"/>
        </w:rPr>
        <w:t>Assistant Director of Finance – Financial Management)</w:t>
      </w:r>
    </w:p>
    <w:p w:rsidR="00B56435" w:rsidRDefault="00B56435">
      <w:pPr>
        <w:rPr>
          <w:rFonts w:ascii="Arial" w:hAnsi="Arial" w:cs="Arial"/>
          <w:b/>
          <w:bCs/>
          <w:iCs/>
          <w:color w:val="FF0000"/>
          <w:szCs w:val="28"/>
        </w:rPr>
      </w:pPr>
    </w:p>
    <w:sectPr w:rsidR="00B56435" w:rsidSect="00B56435">
      <w:footerReference w:type="even" r:id="rId8"/>
      <w:footerReference w:type="default" r:id="rId9"/>
      <w:footerReference w:type="first" r:id="rId10"/>
      <w:pgSz w:w="11906" w:h="16838"/>
      <w:pgMar w:top="1440" w:right="707"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435" w:rsidRDefault="00B56435">
      <w:r>
        <w:separator/>
      </w:r>
    </w:p>
  </w:endnote>
  <w:endnote w:type="continuationSeparator" w:id="0">
    <w:p w:rsidR="00B56435" w:rsidRDefault="00B5643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435" w:rsidRDefault="00D5193A">
    <w:pPr>
      <w:pStyle w:val="Footer"/>
      <w:framePr w:wrap="around" w:vAnchor="text" w:hAnchor="margin" w:xAlign="center" w:y="1"/>
      <w:rPr>
        <w:rStyle w:val="PageNumber"/>
      </w:rPr>
    </w:pPr>
    <w:r>
      <w:rPr>
        <w:rStyle w:val="PageNumber"/>
      </w:rPr>
      <w:fldChar w:fldCharType="begin"/>
    </w:r>
    <w:r w:rsidR="00B56435">
      <w:rPr>
        <w:rStyle w:val="PageNumber"/>
      </w:rPr>
      <w:instrText xml:space="preserve">PAGE  </w:instrText>
    </w:r>
    <w:r>
      <w:rPr>
        <w:rStyle w:val="PageNumber"/>
      </w:rPr>
      <w:fldChar w:fldCharType="end"/>
    </w:r>
  </w:p>
  <w:p w:rsidR="00B56435" w:rsidRDefault="00B564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69078"/>
      <w:docPartObj>
        <w:docPartGallery w:val="Page Numbers (Bottom of Page)"/>
        <w:docPartUnique/>
      </w:docPartObj>
    </w:sdtPr>
    <w:sdtContent>
      <w:p w:rsidR="00B56435" w:rsidRPr="00B56435" w:rsidRDefault="00B56435" w:rsidP="00B56435">
        <w:pPr>
          <w:pStyle w:val="Footer"/>
          <w:tabs>
            <w:tab w:val="clear" w:pos="8306"/>
            <w:tab w:val="left" w:pos="9214"/>
            <w:tab w:val="right" w:pos="9356"/>
          </w:tabs>
          <w:ind w:left="-567"/>
          <w:jc w:val="center"/>
        </w:pPr>
        <w:r>
          <w:t>_________________________________________________________________________________</w:t>
        </w:r>
        <w:r>
          <w:br/>
        </w:r>
        <w:fldSimple w:instr=" PAGE   \* MERGEFORMAT ">
          <w:r w:rsidR="004B4BD4">
            <w:rPr>
              <w:noProof/>
            </w:rPr>
            <w:t>5</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69095"/>
      <w:docPartObj>
        <w:docPartGallery w:val="Page Numbers (Bottom of Page)"/>
        <w:docPartUnique/>
      </w:docPartObj>
    </w:sdtPr>
    <w:sdtContent>
      <w:p w:rsidR="00B56435" w:rsidRDefault="00B56435" w:rsidP="00B56435">
        <w:pPr>
          <w:pStyle w:val="Footer"/>
          <w:tabs>
            <w:tab w:val="clear" w:pos="8306"/>
            <w:tab w:val="left" w:pos="9214"/>
            <w:tab w:val="right" w:pos="9356"/>
          </w:tabs>
          <w:ind w:left="-567"/>
          <w:jc w:val="center"/>
        </w:pPr>
        <w:r>
          <w:t>_________________________________________________________________________________</w:t>
        </w:r>
        <w:r>
          <w:br/>
        </w:r>
        <w:fldSimple w:instr=" PAGE   \* MERGEFORMAT ">
          <w:r w:rsidR="004B4BD4">
            <w:rPr>
              <w:noProof/>
            </w:rPr>
            <w:t>1</w:t>
          </w:r>
        </w:fldSimple>
      </w:p>
    </w:sdtContent>
  </w:sdt>
  <w:p w:rsidR="00B56435" w:rsidRDefault="00B56435" w:rsidP="00B56435">
    <w:pPr>
      <w:ind w:left="-540" w:right="184"/>
      <w:jc w:val="center"/>
      <w:rPr>
        <w:rFonts w:ascii="Arial" w:hAnsi="Arial" w:cs="Arial"/>
        <w:sz w:val="20"/>
        <w:szCs w:val="20"/>
      </w:rPr>
    </w:pPr>
    <w:r>
      <w:rPr>
        <w:noProof/>
        <w:lang w:eastAsia="en-GB"/>
      </w:rPr>
      <w:drawing>
        <wp:anchor distT="0" distB="0" distL="114300" distR="114300" simplePos="0" relativeHeight="251661312"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4"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pic:spPr>
              </pic:pic>
            </a:graphicData>
          </a:graphic>
        </wp:anchor>
      </w:drawing>
    </w:r>
  </w:p>
  <w:p w:rsidR="00B56435" w:rsidRPr="008F5DB5" w:rsidRDefault="00B56435" w:rsidP="00B56435">
    <w:pPr>
      <w:pStyle w:val="Title"/>
      <w:ind w:left="-540" w:right="184" w:hanging="27"/>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B56435" w:rsidRPr="00B56435" w:rsidRDefault="00B56435" w:rsidP="00B56435">
    <w:pPr>
      <w:pStyle w:val="Title"/>
      <w:ind w:left="-540" w:right="184" w:hanging="27"/>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435" w:rsidRDefault="00B56435">
      <w:r>
        <w:separator/>
      </w:r>
    </w:p>
  </w:footnote>
  <w:footnote w:type="continuationSeparator" w:id="0">
    <w:p w:rsidR="00B56435" w:rsidRDefault="00B564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A08B4"/>
    <w:multiLevelType w:val="hybridMultilevel"/>
    <w:tmpl w:val="9FC250F0"/>
    <w:lvl w:ilvl="0" w:tplc="08090005">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nsid w:val="0C70680D"/>
    <w:multiLevelType w:val="hybridMultilevel"/>
    <w:tmpl w:val="02A83A6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4">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5">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nsid w:val="1E107F92"/>
    <w:multiLevelType w:val="hybridMultilevel"/>
    <w:tmpl w:val="5120AFD6"/>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26843D27"/>
    <w:multiLevelType w:val="hybridMultilevel"/>
    <w:tmpl w:val="AF34F4CA"/>
    <w:lvl w:ilvl="0" w:tplc="2F7E5AC2">
      <w:numFmt w:val="none"/>
      <w:lvlText w:val=""/>
      <w:lvlJc w:val="left"/>
      <w:pPr>
        <w:tabs>
          <w:tab w:val="num" w:pos="1209"/>
        </w:tabs>
        <w:ind w:left="1209"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nsid w:val="30A6168A"/>
    <w:multiLevelType w:val="hybridMultilevel"/>
    <w:tmpl w:val="D94AA26A"/>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9">
    <w:nsid w:val="328D0BD5"/>
    <w:multiLevelType w:val="hybridMultilevel"/>
    <w:tmpl w:val="31E46A84"/>
    <w:lvl w:ilvl="0" w:tplc="6FEC19CC">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4531CC7"/>
    <w:multiLevelType w:val="hybridMultilevel"/>
    <w:tmpl w:val="47E4618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2A90430"/>
    <w:multiLevelType w:val="hybridMultilevel"/>
    <w:tmpl w:val="CF8CA5F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7956434"/>
    <w:multiLevelType w:val="hybridMultilevel"/>
    <w:tmpl w:val="3AF0515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81A51E5"/>
    <w:multiLevelType w:val="hybridMultilevel"/>
    <w:tmpl w:val="AC48D4B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6">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nsid w:val="556F4A96"/>
    <w:multiLevelType w:val="hybridMultilevel"/>
    <w:tmpl w:val="D1622FF8"/>
    <w:lvl w:ilvl="0" w:tplc="08090005">
      <w:start w:val="1"/>
      <w:numFmt w:val="bullet"/>
      <w:lvlText w:val=""/>
      <w:lvlJc w:val="left"/>
      <w:pPr>
        <w:ind w:left="1434" w:hanging="360"/>
      </w:pPr>
      <w:rPr>
        <w:rFonts w:ascii="Wingdings" w:hAnsi="Wingdings" w:hint="default"/>
      </w:rPr>
    </w:lvl>
    <w:lvl w:ilvl="1" w:tplc="08090003" w:tentative="1">
      <w:start w:val="1"/>
      <w:numFmt w:val="bullet"/>
      <w:lvlText w:val="o"/>
      <w:lvlJc w:val="left"/>
      <w:pPr>
        <w:ind w:left="2154" w:hanging="360"/>
      </w:pPr>
      <w:rPr>
        <w:rFonts w:ascii="Courier New" w:hAnsi="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18">
    <w:nsid w:val="573435A7"/>
    <w:multiLevelType w:val="hybridMultilevel"/>
    <w:tmpl w:val="EBD8439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57470963"/>
    <w:multiLevelType w:val="hybridMultilevel"/>
    <w:tmpl w:val="B084264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5DE26EB1"/>
    <w:multiLevelType w:val="hybridMultilevel"/>
    <w:tmpl w:val="3828D6A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1">
    <w:nsid w:val="5E01092C"/>
    <w:multiLevelType w:val="hybridMultilevel"/>
    <w:tmpl w:val="817843E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2">
    <w:nsid w:val="61763E3D"/>
    <w:multiLevelType w:val="hybridMultilevel"/>
    <w:tmpl w:val="ECB8EA66"/>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3">
    <w:nsid w:val="67D4066C"/>
    <w:multiLevelType w:val="hybridMultilevel"/>
    <w:tmpl w:val="0ABC497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6C9309C3"/>
    <w:multiLevelType w:val="hybridMultilevel"/>
    <w:tmpl w:val="5B0067A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nsid w:val="6E66146A"/>
    <w:multiLevelType w:val="hybridMultilevel"/>
    <w:tmpl w:val="AEA22BEA"/>
    <w:lvl w:ilvl="0" w:tplc="08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5"/>
  </w:num>
  <w:num w:numId="3">
    <w:abstractNumId w:val="15"/>
  </w:num>
  <w:num w:numId="4">
    <w:abstractNumId w:val="2"/>
  </w:num>
  <w:num w:numId="5">
    <w:abstractNumId w:val="9"/>
  </w:num>
  <w:num w:numId="6">
    <w:abstractNumId w:val="16"/>
  </w:num>
  <w:num w:numId="7">
    <w:abstractNumId w:val="20"/>
  </w:num>
  <w:num w:numId="8">
    <w:abstractNumId w:val="3"/>
  </w:num>
  <w:num w:numId="9">
    <w:abstractNumId w:val="21"/>
  </w:num>
  <w:num w:numId="10">
    <w:abstractNumId w:val="22"/>
  </w:num>
  <w:num w:numId="11">
    <w:abstractNumId w:val="4"/>
  </w:num>
  <w:num w:numId="12">
    <w:abstractNumId w:val="8"/>
  </w:num>
  <w:num w:numId="13">
    <w:abstractNumId w:val="7"/>
  </w:num>
  <w:num w:numId="14">
    <w:abstractNumId w:val="11"/>
  </w:num>
  <w:num w:numId="15">
    <w:abstractNumId w:val="12"/>
  </w:num>
  <w:num w:numId="16">
    <w:abstractNumId w:val="1"/>
  </w:num>
  <w:num w:numId="17">
    <w:abstractNumId w:val="19"/>
  </w:num>
  <w:num w:numId="18">
    <w:abstractNumId w:val="23"/>
  </w:num>
  <w:num w:numId="19">
    <w:abstractNumId w:val="24"/>
  </w:num>
  <w:num w:numId="20">
    <w:abstractNumId w:val="18"/>
  </w:num>
  <w:num w:numId="21">
    <w:abstractNumId w:val="6"/>
  </w:num>
  <w:num w:numId="22">
    <w:abstractNumId w:val="0"/>
  </w:num>
  <w:num w:numId="23">
    <w:abstractNumId w:val="14"/>
  </w:num>
  <w:num w:numId="24">
    <w:abstractNumId w:val="17"/>
  </w:num>
  <w:num w:numId="25">
    <w:abstractNumId w:val="25"/>
  </w:num>
  <w:num w:numId="26">
    <w:abstractNumId w:val="5"/>
  </w:num>
  <w:num w:numId="27">
    <w:abstractNumId w:val="10"/>
  </w:num>
  <w:num w:numId="28">
    <w:abstractNumId w:val="1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rsids>
    <w:rsidRoot w:val="00FB336D"/>
    <w:rsid w:val="00000F06"/>
    <w:rsid w:val="0000132B"/>
    <w:rsid w:val="00001527"/>
    <w:rsid w:val="0000285F"/>
    <w:rsid w:val="00003BA2"/>
    <w:rsid w:val="00003FDE"/>
    <w:rsid w:val="00004D48"/>
    <w:rsid w:val="00005332"/>
    <w:rsid w:val="00006A27"/>
    <w:rsid w:val="00010752"/>
    <w:rsid w:val="000109B5"/>
    <w:rsid w:val="00011464"/>
    <w:rsid w:val="00012511"/>
    <w:rsid w:val="00012CBD"/>
    <w:rsid w:val="00012E8E"/>
    <w:rsid w:val="00013353"/>
    <w:rsid w:val="00014394"/>
    <w:rsid w:val="0001480E"/>
    <w:rsid w:val="00015CDD"/>
    <w:rsid w:val="00016364"/>
    <w:rsid w:val="0002265D"/>
    <w:rsid w:val="000229D5"/>
    <w:rsid w:val="00024055"/>
    <w:rsid w:val="0002462C"/>
    <w:rsid w:val="0002593B"/>
    <w:rsid w:val="00025E0E"/>
    <w:rsid w:val="000300CC"/>
    <w:rsid w:val="00033D76"/>
    <w:rsid w:val="00035B44"/>
    <w:rsid w:val="000368A0"/>
    <w:rsid w:val="00037BDB"/>
    <w:rsid w:val="00042215"/>
    <w:rsid w:val="00046A38"/>
    <w:rsid w:val="00047281"/>
    <w:rsid w:val="00050092"/>
    <w:rsid w:val="000508F5"/>
    <w:rsid w:val="000511E4"/>
    <w:rsid w:val="00051606"/>
    <w:rsid w:val="0005218C"/>
    <w:rsid w:val="00054AAB"/>
    <w:rsid w:val="00054BED"/>
    <w:rsid w:val="00055D47"/>
    <w:rsid w:val="0005653D"/>
    <w:rsid w:val="00066501"/>
    <w:rsid w:val="00067A08"/>
    <w:rsid w:val="00070079"/>
    <w:rsid w:val="00070944"/>
    <w:rsid w:val="00070995"/>
    <w:rsid w:val="00071906"/>
    <w:rsid w:val="00071EF7"/>
    <w:rsid w:val="000720A5"/>
    <w:rsid w:val="00073359"/>
    <w:rsid w:val="00073B67"/>
    <w:rsid w:val="00073EAC"/>
    <w:rsid w:val="00075AC9"/>
    <w:rsid w:val="00080DF1"/>
    <w:rsid w:val="00083231"/>
    <w:rsid w:val="00084583"/>
    <w:rsid w:val="00087181"/>
    <w:rsid w:val="000902EB"/>
    <w:rsid w:val="00091273"/>
    <w:rsid w:val="00092034"/>
    <w:rsid w:val="000926A0"/>
    <w:rsid w:val="000948B7"/>
    <w:rsid w:val="000960E7"/>
    <w:rsid w:val="0009682F"/>
    <w:rsid w:val="0009687F"/>
    <w:rsid w:val="0009748B"/>
    <w:rsid w:val="000A2B44"/>
    <w:rsid w:val="000A2EE7"/>
    <w:rsid w:val="000A5520"/>
    <w:rsid w:val="000A5C42"/>
    <w:rsid w:val="000A6C7F"/>
    <w:rsid w:val="000A6D15"/>
    <w:rsid w:val="000A764C"/>
    <w:rsid w:val="000A7CFA"/>
    <w:rsid w:val="000A7F27"/>
    <w:rsid w:val="000B1409"/>
    <w:rsid w:val="000B2165"/>
    <w:rsid w:val="000B486D"/>
    <w:rsid w:val="000B4B47"/>
    <w:rsid w:val="000B4D45"/>
    <w:rsid w:val="000B4E84"/>
    <w:rsid w:val="000B51BA"/>
    <w:rsid w:val="000B5912"/>
    <w:rsid w:val="000B5F03"/>
    <w:rsid w:val="000C0989"/>
    <w:rsid w:val="000C1756"/>
    <w:rsid w:val="000C206A"/>
    <w:rsid w:val="000C231D"/>
    <w:rsid w:val="000C337E"/>
    <w:rsid w:val="000C3724"/>
    <w:rsid w:val="000C3B78"/>
    <w:rsid w:val="000C409D"/>
    <w:rsid w:val="000C43D7"/>
    <w:rsid w:val="000C4CDC"/>
    <w:rsid w:val="000C4EB2"/>
    <w:rsid w:val="000C65C2"/>
    <w:rsid w:val="000C686E"/>
    <w:rsid w:val="000C6C23"/>
    <w:rsid w:val="000C6DA3"/>
    <w:rsid w:val="000C72A4"/>
    <w:rsid w:val="000D1AF1"/>
    <w:rsid w:val="000D2300"/>
    <w:rsid w:val="000D2BCE"/>
    <w:rsid w:val="000D4198"/>
    <w:rsid w:val="000D5271"/>
    <w:rsid w:val="000D6985"/>
    <w:rsid w:val="000D6E08"/>
    <w:rsid w:val="000D6E46"/>
    <w:rsid w:val="000D70A7"/>
    <w:rsid w:val="000D735F"/>
    <w:rsid w:val="000E0750"/>
    <w:rsid w:val="000E18C2"/>
    <w:rsid w:val="000E20CD"/>
    <w:rsid w:val="000E37D6"/>
    <w:rsid w:val="000E3C1C"/>
    <w:rsid w:val="000E52CC"/>
    <w:rsid w:val="000E5968"/>
    <w:rsid w:val="000E62BC"/>
    <w:rsid w:val="000E6A81"/>
    <w:rsid w:val="000F0820"/>
    <w:rsid w:val="000F180F"/>
    <w:rsid w:val="000F196C"/>
    <w:rsid w:val="000F1E27"/>
    <w:rsid w:val="000F4524"/>
    <w:rsid w:val="000F4B4A"/>
    <w:rsid w:val="000F68FF"/>
    <w:rsid w:val="000F6B12"/>
    <w:rsid w:val="00100C3E"/>
    <w:rsid w:val="00101D3B"/>
    <w:rsid w:val="00101FE6"/>
    <w:rsid w:val="00102448"/>
    <w:rsid w:val="00102BAE"/>
    <w:rsid w:val="00102CE2"/>
    <w:rsid w:val="0010443F"/>
    <w:rsid w:val="00104F21"/>
    <w:rsid w:val="001059E0"/>
    <w:rsid w:val="001059E2"/>
    <w:rsid w:val="00106911"/>
    <w:rsid w:val="001112BF"/>
    <w:rsid w:val="00113D96"/>
    <w:rsid w:val="001142CD"/>
    <w:rsid w:val="00114405"/>
    <w:rsid w:val="00114D93"/>
    <w:rsid w:val="00115344"/>
    <w:rsid w:val="001175E5"/>
    <w:rsid w:val="0012200E"/>
    <w:rsid w:val="001226E2"/>
    <w:rsid w:val="00122905"/>
    <w:rsid w:val="0012468E"/>
    <w:rsid w:val="00124827"/>
    <w:rsid w:val="00127E89"/>
    <w:rsid w:val="00130724"/>
    <w:rsid w:val="00133DA9"/>
    <w:rsid w:val="00133F4C"/>
    <w:rsid w:val="001356B2"/>
    <w:rsid w:val="00136F19"/>
    <w:rsid w:val="00140C75"/>
    <w:rsid w:val="00141287"/>
    <w:rsid w:val="0014179B"/>
    <w:rsid w:val="0014195E"/>
    <w:rsid w:val="001422B2"/>
    <w:rsid w:val="00142AEE"/>
    <w:rsid w:val="00142CE8"/>
    <w:rsid w:val="001440B6"/>
    <w:rsid w:val="001474C6"/>
    <w:rsid w:val="00151CD2"/>
    <w:rsid w:val="0015424C"/>
    <w:rsid w:val="00155452"/>
    <w:rsid w:val="001563EB"/>
    <w:rsid w:val="00157D84"/>
    <w:rsid w:val="00160F5D"/>
    <w:rsid w:val="0016170C"/>
    <w:rsid w:val="00161CEF"/>
    <w:rsid w:val="001621BC"/>
    <w:rsid w:val="0016240B"/>
    <w:rsid w:val="00162FF3"/>
    <w:rsid w:val="00165814"/>
    <w:rsid w:val="00165D71"/>
    <w:rsid w:val="00166314"/>
    <w:rsid w:val="00173B29"/>
    <w:rsid w:val="00173DB6"/>
    <w:rsid w:val="001759F9"/>
    <w:rsid w:val="001764A8"/>
    <w:rsid w:val="00176DC7"/>
    <w:rsid w:val="001801C9"/>
    <w:rsid w:val="00180A53"/>
    <w:rsid w:val="00181E6B"/>
    <w:rsid w:val="00182C06"/>
    <w:rsid w:val="001830FA"/>
    <w:rsid w:val="001840A2"/>
    <w:rsid w:val="00184793"/>
    <w:rsid w:val="00184CAE"/>
    <w:rsid w:val="00186C0F"/>
    <w:rsid w:val="001917FA"/>
    <w:rsid w:val="00191A55"/>
    <w:rsid w:val="00193533"/>
    <w:rsid w:val="00193F7B"/>
    <w:rsid w:val="00194198"/>
    <w:rsid w:val="001978E6"/>
    <w:rsid w:val="001A262F"/>
    <w:rsid w:val="001A43C7"/>
    <w:rsid w:val="001A624A"/>
    <w:rsid w:val="001A6F98"/>
    <w:rsid w:val="001A7988"/>
    <w:rsid w:val="001B0DDC"/>
    <w:rsid w:val="001B141F"/>
    <w:rsid w:val="001B272D"/>
    <w:rsid w:val="001B338E"/>
    <w:rsid w:val="001B3610"/>
    <w:rsid w:val="001B3888"/>
    <w:rsid w:val="001B5C7E"/>
    <w:rsid w:val="001B5D6D"/>
    <w:rsid w:val="001B6494"/>
    <w:rsid w:val="001B6DA2"/>
    <w:rsid w:val="001B79D4"/>
    <w:rsid w:val="001B7F7D"/>
    <w:rsid w:val="001C064C"/>
    <w:rsid w:val="001C1571"/>
    <w:rsid w:val="001C187E"/>
    <w:rsid w:val="001C2164"/>
    <w:rsid w:val="001C278B"/>
    <w:rsid w:val="001C37E0"/>
    <w:rsid w:val="001C4B6F"/>
    <w:rsid w:val="001C4DA3"/>
    <w:rsid w:val="001C4EB7"/>
    <w:rsid w:val="001C6E82"/>
    <w:rsid w:val="001C793A"/>
    <w:rsid w:val="001D0B89"/>
    <w:rsid w:val="001D0D92"/>
    <w:rsid w:val="001D2C34"/>
    <w:rsid w:val="001D3457"/>
    <w:rsid w:val="001D3E4F"/>
    <w:rsid w:val="001D567C"/>
    <w:rsid w:val="001E096A"/>
    <w:rsid w:val="001E0D3E"/>
    <w:rsid w:val="001E0D99"/>
    <w:rsid w:val="001E0FE0"/>
    <w:rsid w:val="001E1FC3"/>
    <w:rsid w:val="001E24EB"/>
    <w:rsid w:val="001E26E5"/>
    <w:rsid w:val="001E2FF2"/>
    <w:rsid w:val="001E6186"/>
    <w:rsid w:val="001E7BB0"/>
    <w:rsid w:val="001F01A3"/>
    <w:rsid w:val="001F073B"/>
    <w:rsid w:val="001F1861"/>
    <w:rsid w:val="001F4C51"/>
    <w:rsid w:val="001F7195"/>
    <w:rsid w:val="001F76BF"/>
    <w:rsid w:val="001F7E6A"/>
    <w:rsid w:val="0020128F"/>
    <w:rsid w:val="0020277F"/>
    <w:rsid w:val="002028B1"/>
    <w:rsid w:val="002029F5"/>
    <w:rsid w:val="00203312"/>
    <w:rsid w:val="0020398A"/>
    <w:rsid w:val="00203A65"/>
    <w:rsid w:val="002058F7"/>
    <w:rsid w:val="0020693E"/>
    <w:rsid w:val="00206BF6"/>
    <w:rsid w:val="002073F5"/>
    <w:rsid w:val="00210F13"/>
    <w:rsid w:val="00211F87"/>
    <w:rsid w:val="002125A9"/>
    <w:rsid w:val="00213119"/>
    <w:rsid w:val="00213BD2"/>
    <w:rsid w:val="002143DD"/>
    <w:rsid w:val="00216005"/>
    <w:rsid w:val="00217287"/>
    <w:rsid w:val="002178A3"/>
    <w:rsid w:val="00217BB1"/>
    <w:rsid w:val="002209CB"/>
    <w:rsid w:val="00220A4F"/>
    <w:rsid w:val="002211AB"/>
    <w:rsid w:val="002213C8"/>
    <w:rsid w:val="00221F62"/>
    <w:rsid w:val="00222D0A"/>
    <w:rsid w:val="00223052"/>
    <w:rsid w:val="002235AA"/>
    <w:rsid w:val="00223BF4"/>
    <w:rsid w:val="00227D83"/>
    <w:rsid w:val="0023366A"/>
    <w:rsid w:val="00236544"/>
    <w:rsid w:val="00237472"/>
    <w:rsid w:val="0024032B"/>
    <w:rsid w:val="002409CF"/>
    <w:rsid w:val="00241542"/>
    <w:rsid w:val="0024247D"/>
    <w:rsid w:val="00243387"/>
    <w:rsid w:val="002450A1"/>
    <w:rsid w:val="00247375"/>
    <w:rsid w:val="00247ECE"/>
    <w:rsid w:val="00250E70"/>
    <w:rsid w:val="00251A22"/>
    <w:rsid w:val="002523B4"/>
    <w:rsid w:val="00252768"/>
    <w:rsid w:val="002555FC"/>
    <w:rsid w:val="002558AF"/>
    <w:rsid w:val="00255F24"/>
    <w:rsid w:val="00256BC9"/>
    <w:rsid w:val="00256FE7"/>
    <w:rsid w:val="002618B5"/>
    <w:rsid w:val="00261F97"/>
    <w:rsid w:val="00262EC5"/>
    <w:rsid w:val="002631D8"/>
    <w:rsid w:val="0026349F"/>
    <w:rsid w:val="00267FCD"/>
    <w:rsid w:val="002700AB"/>
    <w:rsid w:val="00271BFB"/>
    <w:rsid w:val="002734B4"/>
    <w:rsid w:val="002736D8"/>
    <w:rsid w:val="002743A7"/>
    <w:rsid w:val="002748ED"/>
    <w:rsid w:val="00275CAF"/>
    <w:rsid w:val="0028008B"/>
    <w:rsid w:val="00282E36"/>
    <w:rsid w:val="00284D39"/>
    <w:rsid w:val="00284DB7"/>
    <w:rsid w:val="002850A1"/>
    <w:rsid w:val="0028554C"/>
    <w:rsid w:val="0028582B"/>
    <w:rsid w:val="00286D8D"/>
    <w:rsid w:val="00287271"/>
    <w:rsid w:val="00287D8B"/>
    <w:rsid w:val="00290643"/>
    <w:rsid w:val="002942E3"/>
    <w:rsid w:val="0029480A"/>
    <w:rsid w:val="0029561E"/>
    <w:rsid w:val="00296723"/>
    <w:rsid w:val="00297424"/>
    <w:rsid w:val="002A3807"/>
    <w:rsid w:val="002A3FB7"/>
    <w:rsid w:val="002A4762"/>
    <w:rsid w:val="002A4CAF"/>
    <w:rsid w:val="002A5AA9"/>
    <w:rsid w:val="002A5ABF"/>
    <w:rsid w:val="002B2699"/>
    <w:rsid w:val="002B2E2A"/>
    <w:rsid w:val="002B512B"/>
    <w:rsid w:val="002B5417"/>
    <w:rsid w:val="002B5AD3"/>
    <w:rsid w:val="002B6E78"/>
    <w:rsid w:val="002C057D"/>
    <w:rsid w:val="002C43BF"/>
    <w:rsid w:val="002C47DA"/>
    <w:rsid w:val="002C4AFE"/>
    <w:rsid w:val="002C5573"/>
    <w:rsid w:val="002C5703"/>
    <w:rsid w:val="002C5E9D"/>
    <w:rsid w:val="002C74ED"/>
    <w:rsid w:val="002C7EC9"/>
    <w:rsid w:val="002D1770"/>
    <w:rsid w:val="002D180A"/>
    <w:rsid w:val="002D186D"/>
    <w:rsid w:val="002D1884"/>
    <w:rsid w:val="002D1A20"/>
    <w:rsid w:val="002D2C21"/>
    <w:rsid w:val="002D318A"/>
    <w:rsid w:val="002D3C8D"/>
    <w:rsid w:val="002D55BF"/>
    <w:rsid w:val="002D5A29"/>
    <w:rsid w:val="002D778E"/>
    <w:rsid w:val="002E209D"/>
    <w:rsid w:val="002E2942"/>
    <w:rsid w:val="002E2B79"/>
    <w:rsid w:val="002E2C72"/>
    <w:rsid w:val="002E2D8B"/>
    <w:rsid w:val="002E3101"/>
    <w:rsid w:val="002E5196"/>
    <w:rsid w:val="002E5291"/>
    <w:rsid w:val="002E54AC"/>
    <w:rsid w:val="002E68DC"/>
    <w:rsid w:val="002E6C31"/>
    <w:rsid w:val="002E7F84"/>
    <w:rsid w:val="002F1B13"/>
    <w:rsid w:val="002F1C93"/>
    <w:rsid w:val="002F39A0"/>
    <w:rsid w:val="002F56B8"/>
    <w:rsid w:val="002F5C06"/>
    <w:rsid w:val="00300BA7"/>
    <w:rsid w:val="00301ACE"/>
    <w:rsid w:val="00304ECD"/>
    <w:rsid w:val="00304EF6"/>
    <w:rsid w:val="00305EB2"/>
    <w:rsid w:val="003119B4"/>
    <w:rsid w:val="00311BE5"/>
    <w:rsid w:val="00311F07"/>
    <w:rsid w:val="003122D8"/>
    <w:rsid w:val="003123D2"/>
    <w:rsid w:val="0031289B"/>
    <w:rsid w:val="00312BA3"/>
    <w:rsid w:val="00312C51"/>
    <w:rsid w:val="00312C9B"/>
    <w:rsid w:val="00313E68"/>
    <w:rsid w:val="00314986"/>
    <w:rsid w:val="00316170"/>
    <w:rsid w:val="00316B2E"/>
    <w:rsid w:val="003202CA"/>
    <w:rsid w:val="00320A94"/>
    <w:rsid w:val="00321D1C"/>
    <w:rsid w:val="00321D2E"/>
    <w:rsid w:val="003223BA"/>
    <w:rsid w:val="00322498"/>
    <w:rsid w:val="003235B5"/>
    <w:rsid w:val="003257C2"/>
    <w:rsid w:val="003259C5"/>
    <w:rsid w:val="003263F0"/>
    <w:rsid w:val="003302EE"/>
    <w:rsid w:val="00333BD2"/>
    <w:rsid w:val="003346AE"/>
    <w:rsid w:val="0033702A"/>
    <w:rsid w:val="00337564"/>
    <w:rsid w:val="003412B0"/>
    <w:rsid w:val="00342F03"/>
    <w:rsid w:val="00343E6E"/>
    <w:rsid w:val="0035105A"/>
    <w:rsid w:val="0035254D"/>
    <w:rsid w:val="00352EC7"/>
    <w:rsid w:val="00354084"/>
    <w:rsid w:val="0035563F"/>
    <w:rsid w:val="00355B17"/>
    <w:rsid w:val="00355DEB"/>
    <w:rsid w:val="003618A8"/>
    <w:rsid w:val="00361B3A"/>
    <w:rsid w:val="00364CC3"/>
    <w:rsid w:val="003705A2"/>
    <w:rsid w:val="00374F0B"/>
    <w:rsid w:val="00376A41"/>
    <w:rsid w:val="0038105D"/>
    <w:rsid w:val="0038117A"/>
    <w:rsid w:val="003820B2"/>
    <w:rsid w:val="003823EC"/>
    <w:rsid w:val="00384AB9"/>
    <w:rsid w:val="00384F4A"/>
    <w:rsid w:val="0038575D"/>
    <w:rsid w:val="00390485"/>
    <w:rsid w:val="00391148"/>
    <w:rsid w:val="0039323F"/>
    <w:rsid w:val="00393C88"/>
    <w:rsid w:val="003A14B3"/>
    <w:rsid w:val="003A24F3"/>
    <w:rsid w:val="003A28F2"/>
    <w:rsid w:val="003A33C1"/>
    <w:rsid w:val="003A3735"/>
    <w:rsid w:val="003A3966"/>
    <w:rsid w:val="003A3A85"/>
    <w:rsid w:val="003A49FF"/>
    <w:rsid w:val="003A6C82"/>
    <w:rsid w:val="003A7F64"/>
    <w:rsid w:val="003B0BA2"/>
    <w:rsid w:val="003B2798"/>
    <w:rsid w:val="003B58F9"/>
    <w:rsid w:val="003B7273"/>
    <w:rsid w:val="003B7391"/>
    <w:rsid w:val="003B7FD1"/>
    <w:rsid w:val="003B7FE1"/>
    <w:rsid w:val="003C0ECC"/>
    <w:rsid w:val="003C29CD"/>
    <w:rsid w:val="003C3541"/>
    <w:rsid w:val="003D1F38"/>
    <w:rsid w:val="003D32BA"/>
    <w:rsid w:val="003D4DC5"/>
    <w:rsid w:val="003D5356"/>
    <w:rsid w:val="003D5C55"/>
    <w:rsid w:val="003D6DE6"/>
    <w:rsid w:val="003D6F41"/>
    <w:rsid w:val="003D78AB"/>
    <w:rsid w:val="003E0BD7"/>
    <w:rsid w:val="003E2D8F"/>
    <w:rsid w:val="003E4918"/>
    <w:rsid w:val="003E5AE1"/>
    <w:rsid w:val="003E6961"/>
    <w:rsid w:val="003F1A1C"/>
    <w:rsid w:val="003F5101"/>
    <w:rsid w:val="003F6BFE"/>
    <w:rsid w:val="003F7320"/>
    <w:rsid w:val="004005A7"/>
    <w:rsid w:val="00406D55"/>
    <w:rsid w:val="004112BC"/>
    <w:rsid w:val="00411DFD"/>
    <w:rsid w:val="004121AB"/>
    <w:rsid w:val="00412BCD"/>
    <w:rsid w:val="00413315"/>
    <w:rsid w:val="00414300"/>
    <w:rsid w:val="00414806"/>
    <w:rsid w:val="004165F0"/>
    <w:rsid w:val="0041727E"/>
    <w:rsid w:val="00417BB2"/>
    <w:rsid w:val="00423D67"/>
    <w:rsid w:val="0042487F"/>
    <w:rsid w:val="004248AB"/>
    <w:rsid w:val="00425231"/>
    <w:rsid w:val="0042666E"/>
    <w:rsid w:val="0042710E"/>
    <w:rsid w:val="00430363"/>
    <w:rsid w:val="004306DE"/>
    <w:rsid w:val="004313F7"/>
    <w:rsid w:val="0043250E"/>
    <w:rsid w:val="004347CC"/>
    <w:rsid w:val="0043562D"/>
    <w:rsid w:val="004372E3"/>
    <w:rsid w:val="0044078F"/>
    <w:rsid w:val="00440871"/>
    <w:rsid w:val="00440BA9"/>
    <w:rsid w:val="00440E68"/>
    <w:rsid w:val="00441365"/>
    <w:rsid w:val="00441DC0"/>
    <w:rsid w:val="00441EF1"/>
    <w:rsid w:val="004428D5"/>
    <w:rsid w:val="00442CAB"/>
    <w:rsid w:val="00443357"/>
    <w:rsid w:val="00443BE6"/>
    <w:rsid w:val="00444973"/>
    <w:rsid w:val="0044609D"/>
    <w:rsid w:val="00446A42"/>
    <w:rsid w:val="00446C14"/>
    <w:rsid w:val="00450D1B"/>
    <w:rsid w:val="00453205"/>
    <w:rsid w:val="0045371B"/>
    <w:rsid w:val="00453CCA"/>
    <w:rsid w:val="004541A5"/>
    <w:rsid w:val="004554FB"/>
    <w:rsid w:val="00456F17"/>
    <w:rsid w:val="00462FEF"/>
    <w:rsid w:val="004771FF"/>
    <w:rsid w:val="00477B32"/>
    <w:rsid w:val="00477DD3"/>
    <w:rsid w:val="004813F2"/>
    <w:rsid w:val="00482572"/>
    <w:rsid w:val="00482E04"/>
    <w:rsid w:val="004831D6"/>
    <w:rsid w:val="00485AD4"/>
    <w:rsid w:val="00486236"/>
    <w:rsid w:val="00486412"/>
    <w:rsid w:val="00486921"/>
    <w:rsid w:val="00487F73"/>
    <w:rsid w:val="00490DAE"/>
    <w:rsid w:val="00490ECC"/>
    <w:rsid w:val="004912CB"/>
    <w:rsid w:val="004919C1"/>
    <w:rsid w:val="0049260B"/>
    <w:rsid w:val="00496099"/>
    <w:rsid w:val="004961B0"/>
    <w:rsid w:val="00496344"/>
    <w:rsid w:val="004967BC"/>
    <w:rsid w:val="004975E7"/>
    <w:rsid w:val="004A05F2"/>
    <w:rsid w:val="004A0A90"/>
    <w:rsid w:val="004A0DD1"/>
    <w:rsid w:val="004A1425"/>
    <w:rsid w:val="004A18D3"/>
    <w:rsid w:val="004A1CF4"/>
    <w:rsid w:val="004A212D"/>
    <w:rsid w:val="004A2782"/>
    <w:rsid w:val="004A33C6"/>
    <w:rsid w:val="004A4680"/>
    <w:rsid w:val="004A47D3"/>
    <w:rsid w:val="004A5911"/>
    <w:rsid w:val="004A5B61"/>
    <w:rsid w:val="004A6909"/>
    <w:rsid w:val="004A7AC5"/>
    <w:rsid w:val="004B1DBC"/>
    <w:rsid w:val="004B2728"/>
    <w:rsid w:val="004B3349"/>
    <w:rsid w:val="004B357E"/>
    <w:rsid w:val="004B4AAE"/>
    <w:rsid w:val="004B4BD4"/>
    <w:rsid w:val="004B79DD"/>
    <w:rsid w:val="004C1AAE"/>
    <w:rsid w:val="004C285F"/>
    <w:rsid w:val="004C3D6D"/>
    <w:rsid w:val="004C4208"/>
    <w:rsid w:val="004C4232"/>
    <w:rsid w:val="004C46F2"/>
    <w:rsid w:val="004C510B"/>
    <w:rsid w:val="004C562B"/>
    <w:rsid w:val="004D00F2"/>
    <w:rsid w:val="004D0204"/>
    <w:rsid w:val="004D0212"/>
    <w:rsid w:val="004D0C39"/>
    <w:rsid w:val="004D433F"/>
    <w:rsid w:val="004D5BE8"/>
    <w:rsid w:val="004D6FFC"/>
    <w:rsid w:val="004E0237"/>
    <w:rsid w:val="004E0C80"/>
    <w:rsid w:val="004E0CB0"/>
    <w:rsid w:val="004E2460"/>
    <w:rsid w:val="004E3643"/>
    <w:rsid w:val="004E3D8D"/>
    <w:rsid w:val="004E4102"/>
    <w:rsid w:val="004E4B04"/>
    <w:rsid w:val="004E5EEC"/>
    <w:rsid w:val="004E666C"/>
    <w:rsid w:val="004E7128"/>
    <w:rsid w:val="004E7546"/>
    <w:rsid w:val="004F2771"/>
    <w:rsid w:val="004F45B3"/>
    <w:rsid w:val="004F45FF"/>
    <w:rsid w:val="004F5BCD"/>
    <w:rsid w:val="004F5F1D"/>
    <w:rsid w:val="004F626A"/>
    <w:rsid w:val="004F7F35"/>
    <w:rsid w:val="0050210B"/>
    <w:rsid w:val="005023DE"/>
    <w:rsid w:val="005028A9"/>
    <w:rsid w:val="00504EB3"/>
    <w:rsid w:val="00505171"/>
    <w:rsid w:val="00506024"/>
    <w:rsid w:val="00506FA4"/>
    <w:rsid w:val="00507173"/>
    <w:rsid w:val="005076DB"/>
    <w:rsid w:val="0050779E"/>
    <w:rsid w:val="005100FB"/>
    <w:rsid w:val="00510A67"/>
    <w:rsid w:val="00511C73"/>
    <w:rsid w:val="00512829"/>
    <w:rsid w:val="00512E38"/>
    <w:rsid w:val="005141E7"/>
    <w:rsid w:val="005150DD"/>
    <w:rsid w:val="0051684B"/>
    <w:rsid w:val="0051795E"/>
    <w:rsid w:val="00517A0C"/>
    <w:rsid w:val="0052029A"/>
    <w:rsid w:val="00521B8C"/>
    <w:rsid w:val="00521D1F"/>
    <w:rsid w:val="00522792"/>
    <w:rsid w:val="005245FF"/>
    <w:rsid w:val="00524847"/>
    <w:rsid w:val="005250A3"/>
    <w:rsid w:val="0052687E"/>
    <w:rsid w:val="005272A0"/>
    <w:rsid w:val="00530252"/>
    <w:rsid w:val="005315D2"/>
    <w:rsid w:val="00532E45"/>
    <w:rsid w:val="00534840"/>
    <w:rsid w:val="00534D03"/>
    <w:rsid w:val="00535349"/>
    <w:rsid w:val="005360F9"/>
    <w:rsid w:val="0053648B"/>
    <w:rsid w:val="005371AE"/>
    <w:rsid w:val="00542798"/>
    <w:rsid w:val="00547862"/>
    <w:rsid w:val="00547F05"/>
    <w:rsid w:val="00550D35"/>
    <w:rsid w:val="00551D25"/>
    <w:rsid w:val="00552F32"/>
    <w:rsid w:val="00553595"/>
    <w:rsid w:val="00554275"/>
    <w:rsid w:val="00554337"/>
    <w:rsid w:val="00554F70"/>
    <w:rsid w:val="0055551B"/>
    <w:rsid w:val="005561F0"/>
    <w:rsid w:val="005562D8"/>
    <w:rsid w:val="00556F32"/>
    <w:rsid w:val="00566F15"/>
    <w:rsid w:val="005700CB"/>
    <w:rsid w:val="005711E7"/>
    <w:rsid w:val="005712EF"/>
    <w:rsid w:val="005729FB"/>
    <w:rsid w:val="00572BF8"/>
    <w:rsid w:val="005745F0"/>
    <w:rsid w:val="00580EF9"/>
    <w:rsid w:val="00585BEB"/>
    <w:rsid w:val="005867EB"/>
    <w:rsid w:val="0058799A"/>
    <w:rsid w:val="00591EB5"/>
    <w:rsid w:val="0059299E"/>
    <w:rsid w:val="00594963"/>
    <w:rsid w:val="005976D8"/>
    <w:rsid w:val="005A14BB"/>
    <w:rsid w:val="005A1881"/>
    <w:rsid w:val="005A1C6C"/>
    <w:rsid w:val="005A2261"/>
    <w:rsid w:val="005A269F"/>
    <w:rsid w:val="005A355F"/>
    <w:rsid w:val="005A6432"/>
    <w:rsid w:val="005B0715"/>
    <w:rsid w:val="005B0C20"/>
    <w:rsid w:val="005B3FCB"/>
    <w:rsid w:val="005B5C0F"/>
    <w:rsid w:val="005B5D9A"/>
    <w:rsid w:val="005C0C3E"/>
    <w:rsid w:val="005C18BF"/>
    <w:rsid w:val="005C2169"/>
    <w:rsid w:val="005C4788"/>
    <w:rsid w:val="005C6818"/>
    <w:rsid w:val="005D0667"/>
    <w:rsid w:val="005D1096"/>
    <w:rsid w:val="005D2BAF"/>
    <w:rsid w:val="005D4DD6"/>
    <w:rsid w:val="005D5C84"/>
    <w:rsid w:val="005D7114"/>
    <w:rsid w:val="005D7F3F"/>
    <w:rsid w:val="005E1F47"/>
    <w:rsid w:val="005E2398"/>
    <w:rsid w:val="005E34A3"/>
    <w:rsid w:val="005E3925"/>
    <w:rsid w:val="005E42EA"/>
    <w:rsid w:val="005E4414"/>
    <w:rsid w:val="005E56C5"/>
    <w:rsid w:val="005E6127"/>
    <w:rsid w:val="005E6809"/>
    <w:rsid w:val="005E7CD0"/>
    <w:rsid w:val="005F00BE"/>
    <w:rsid w:val="005F09CC"/>
    <w:rsid w:val="005F0E5A"/>
    <w:rsid w:val="005F1ED7"/>
    <w:rsid w:val="005F3D9A"/>
    <w:rsid w:val="005F58EE"/>
    <w:rsid w:val="005F5A90"/>
    <w:rsid w:val="005F5E60"/>
    <w:rsid w:val="005F5F56"/>
    <w:rsid w:val="005F7DF5"/>
    <w:rsid w:val="006001D6"/>
    <w:rsid w:val="00601791"/>
    <w:rsid w:val="006045AC"/>
    <w:rsid w:val="00604A1A"/>
    <w:rsid w:val="00605CC4"/>
    <w:rsid w:val="006071D7"/>
    <w:rsid w:val="0060793F"/>
    <w:rsid w:val="00610257"/>
    <w:rsid w:val="0061091F"/>
    <w:rsid w:val="0061225E"/>
    <w:rsid w:val="00616F1E"/>
    <w:rsid w:val="00617541"/>
    <w:rsid w:val="00617607"/>
    <w:rsid w:val="00620081"/>
    <w:rsid w:val="006200DD"/>
    <w:rsid w:val="006215AA"/>
    <w:rsid w:val="00622900"/>
    <w:rsid w:val="00625968"/>
    <w:rsid w:val="00626A1D"/>
    <w:rsid w:val="00626A5E"/>
    <w:rsid w:val="006303E7"/>
    <w:rsid w:val="0063051C"/>
    <w:rsid w:val="006322EF"/>
    <w:rsid w:val="0063419B"/>
    <w:rsid w:val="00636FFD"/>
    <w:rsid w:val="006414CE"/>
    <w:rsid w:val="006420FD"/>
    <w:rsid w:val="00643D70"/>
    <w:rsid w:val="0064739B"/>
    <w:rsid w:val="0065187B"/>
    <w:rsid w:val="006534E3"/>
    <w:rsid w:val="00655247"/>
    <w:rsid w:val="00655282"/>
    <w:rsid w:val="006552F3"/>
    <w:rsid w:val="006562C4"/>
    <w:rsid w:val="00656C33"/>
    <w:rsid w:val="00656CBF"/>
    <w:rsid w:val="00657DC2"/>
    <w:rsid w:val="00661ACA"/>
    <w:rsid w:val="00662789"/>
    <w:rsid w:val="00662A8D"/>
    <w:rsid w:val="006631E6"/>
    <w:rsid w:val="00663EEA"/>
    <w:rsid w:val="006641F6"/>
    <w:rsid w:val="006650F2"/>
    <w:rsid w:val="0066566D"/>
    <w:rsid w:val="00665CA6"/>
    <w:rsid w:val="006723B4"/>
    <w:rsid w:val="006739EA"/>
    <w:rsid w:val="00677AE5"/>
    <w:rsid w:val="00680EDA"/>
    <w:rsid w:val="0068108E"/>
    <w:rsid w:val="00681423"/>
    <w:rsid w:val="00682309"/>
    <w:rsid w:val="0068381A"/>
    <w:rsid w:val="00685E91"/>
    <w:rsid w:val="006871F7"/>
    <w:rsid w:val="00690D4F"/>
    <w:rsid w:val="00693B97"/>
    <w:rsid w:val="0069574A"/>
    <w:rsid w:val="00696721"/>
    <w:rsid w:val="006973E0"/>
    <w:rsid w:val="006A05DE"/>
    <w:rsid w:val="006A10E6"/>
    <w:rsid w:val="006A1A6C"/>
    <w:rsid w:val="006A23F2"/>
    <w:rsid w:val="006A3042"/>
    <w:rsid w:val="006A30DD"/>
    <w:rsid w:val="006A6CD7"/>
    <w:rsid w:val="006A7DF7"/>
    <w:rsid w:val="006B06BC"/>
    <w:rsid w:val="006B0882"/>
    <w:rsid w:val="006B18EC"/>
    <w:rsid w:val="006C0D89"/>
    <w:rsid w:val="006C162F"/>
    <w:rsid w:val="006C40F4"/>
    <w:rsid w:val="006C5A33"/>
    <w:rsid w:val="006C614E"/>
    <w:rsid w:val="006C701E"/>
    <w:rsid w:val="006C7D52"/>
    <w:rsid w:val="006D4913"/>
    <w:rsid w:val="006D4EC5"/>
    <w:rsid w:val="006D6614"/>
    <w:rsid w:val="006D698C"/>
    <w:rsid w:val="006E01BE"/>
    <w:rsid w:val="006E239E"/>
    <w:rsid w:val="006E41B1"/>
    <w:rsid w:val="006E659C"/>
    <w:rsid w:val="006F1FC6"/>
    <w:rsid w:val="006F2259"/>
    <w:rsid w:val="006F40F4"/>
    <w:rsid w:val="006F4AC5"/>
    <w:rsid w:val="006F4B45"/>
    <w:rsid w:val="006F4C90"/>
    <w:rsid w:val="006F5447"/>
    <w:rsid w:val="006F65EB"/>
    <w:rsid w:val="00700075"/>
    <w:rsid w:val="0070103E"/>
    <w:rsid w:val="007010DF"/>
    <w:rsid w:val="00701119"/>
    <w:rsid w:val="0070196F"/>
    <w:rsid w:val="00703D0C"/>
    <w:rsid w:val="007056FB"/>
    <w:rsid w:val="007065D8"/>
    <w:rsid w:val="00706AFD"/>
    <w:rsid w:val="007079FF"/>
    <w:rsid w:val="00710E6B"/>
    <w:rsid w:val="007128F8"/>
    <w:rsid w:val="00714163"/>
    <w:rsid w:val="00714700"/>
    <w:rsid w:val="00714F68"/>
    <w:rsid w:val="007160D2"/>
    <w:rsid w:val="00716346"/>
    <w:rsid w:val="00716350"/>
    <w:rsid w:val="00717EB9"/>
    <w:rsid w:val="0072021F"/>
    <w:rsid w:val="00722796"/>
    <w:rsid w:val="00722A4B"/>
    <w:rsid w:val="007232F7"/>
    <w:rsid w:val="00724558"/>
    <w:rsid w:val="00724C66"/>
    <w:rsid w:val="0072563C"/>
    <w:rsid w:val="0072590E"/>
    <w:rsid w:val="00725D63"/>
    <w:rsid w:val="00730087"/>
    <w:rsid w:val="00730807"/>
    <w:rsid w:val="00731252"/>
    <w:rsid w:val="00734706"/>
    <w:rsid w:val="00734935"/>
    <w:rsid w:val="00734A62"/>
    <w:rsid w:val="00734C85"/>
    <w:rsid w:val="00734FEB"/>
    <w:rsid w:val="0073542A"/>
    <w:rsid w:val="00735EEF"/>
    <w:rsid w:val="007404A2"/>
    <w:rsid w:val="0074268E"/>
    <w:rsid w:val="007428AF"/>
    <w:rsid w:val="00743ED3"/>
    <w:rsid w:val="00744740"/>
    <w:rsid w:val="007467AB"/>
    <w:rsid w:val="00747F22"/>
    <w:rsid w:val="00750D34"/>
    <w:rsid w:val="00750D8D"/>
    <w:rsid w:val="007511B9"/>
    <w:rsid w:val="00752B16"/>
    <w:rsid w:val="007555E9"/>
    <w:rsid w:val="00755B9C"/>
    <w:rsid w:val="00756B39"/>
    <w:rsid w:val="00760859"/>
    <w:rsid w:val="00760D42"/>
    <w:rsid w:val="007615ED"/>
    <w:rsid w:val="00763CFC"/>
    <w:rsid w:val="00763E29"/>
    <w:rsid w:val="00764664"/>
    <w:rsid w:val="0076667C"/>
    <w:rsid w:val="00766877"/>
    <w:rsid w:val="00766A9D"/>
    <w:rsid w:val="00767C86"/>
    <w:rsid w:val="007704B9"/>
    <w:rsid w:val="00771A48"/>
    <w:rsid w:val="00772470"/>
    <w:rsid w:val="0077331E"/>
    <w:rsid w:val="00774DD5"/>
    <w:rsid w:val="00775876"/>
    <w:rsid w:val="0077692A"/>
    <w:rsid w:val="00776947"/>
    <w:rsid w:val="00777997"/>
    <w:rsid w:val="0078038D"/>
    <w:rsid w:val="0078383C"/>
    <w:rsid w:val="00783A9A"/>
    <w:rsid w:val="007852E6"/>
    <w:rsid w:val="00785C94"/>
    <w:rsid w:val="00786675"/>
    <w:rsid w:val="00786845"/>
    <w:rsid w:val="0078709B"/>
    <w:rsid w:val="00791790"/>
    <w:rsid w:val="00792A74"/>
    <w:rsid w:val="00794777"/>
    <w:rsid w:val="007955C9"/>
    <w:rsid w:val="00797141"/>
    <w:rsid w:val="00797464"/>
    <w:rsid w:val="00797474"/>
    <w:rsid w:val="007975F7"/>
    <w:rsid w:val="007A12A2"/>
    <w:rsid w:val="007A1A60"/>
    <w:rsid w:val="007A2DB8"/>
    <w:rsid w:val="007A32DD"/>
    <w:rsid w:val="007A3B40"/>
    <w:rsid w:val="007A4F57"/>
    <w:rsid w:val="007A505C"/>
    <w:rsid w:val="007B0712"/>
    <w:rsid w:val="007B3923"/>
    <w:rsid w:val="007B3D48"/>
    <w:rsid w:val="007B6208"/>
    <w:rsid w:val="007B7ED1"/>
    <w:rsid w:val="007C1823"/>
    <w:rsid w:val="007C3F52"/>
    <w:rsid w:val="007C7083"/>
    <w:rsid w:val="007C7614"/>
    <w:rsid w:val="007C7E39"/>
    <w:rsid w:val="007D132B"/>
    <w:rsid w:val="007D15CD"/>
    <w:rsid w:val="007D1B34"/>
    <w:rsid w:val="007D4370"/>
    <w:rsid w:val="007D4ED7"/>
    <w:rsid w:val="007D5416"/>
    <w:rsid w:val="007D6BFC"/>
    <w:rsid w:val="007D7863"/>
    <w:rsid w:val="007E2D95"/>
    <w:rsid w:val="007E312E"/>
    <w:rsid w:val="007E6289"/>
    <w:rsid w:val="007E656D"/>
    <w:rsid w:val="007E6BA7"/>
    <w:rsid w:val="007E732B"/>
    <w:rsid w:val="007E7A07"/>
    <w:rsid w:val="007F0254"/>
    <w:rsid w:val="007F4D4E"/>
    <w:rsid w:val="007F58F3"/>
    <w:rsid w:val="007F5C94"/>
    <w:rsid w:val="00800802"/>
    <w:rsid w:val="00800D0F"/>
    <w:rsid w:val="00802A24"/>
    <w:rsid w:val="00803546"/>
    <w:rsid w:val="0080367E"/>
    <w:rsid w:val="0080498C"/>
    <w:rsid w:val="00805EA3"/>
    <w:rsid w:val="00805FD7"/>
    <w:rsid w:val="00807C7C"/>
    <w:rsid w:val="00810A57"/>
    <w:rsid w:val="00812B9B"/>
    <w:rsid w:val="00812C63"/>
    <w:rsid w:val="00813362"/>
    <w:rsid w:val="008134F9"/>
    <w:rsid w:val="00813A21"/>
    <w:rsid w:val="00816F10"/>
    <w:rsid w:val="00817C11"/>
    <w:rsid w:val="00820D31"/>
    <w:rsid w:val="0082292D"/>
    <w:rsid w:val="00822F9F"/>
    <w:rsid w:val="00823607"/>
    <w:rsid w:val="0082373E"/>
    <w:rsid w:val="008252E4"/>
    <w:rsid w:val="008263D2"/>
    <w:rsid w:val="0082756C"/>
    <w:rsid w:val="0083128D"/>
    <w:rsid w:val="008312AB"/>
    <w:rsid w:val="00833F36"/>
    <w:rsid w:val="00834EDE"/>
    <w:rsid w:val="0083535F"/>
    <w:rsid w:val="00837DCA"/>
    <w:rsid w:val="008417DD"/>
    <w:rsid w:val="00841CAC"/>
    <w:rsid w:val="00842FC1"/>
    <w:rsid w:val="0084308A"/>
    <w:rsid w:val="008446C1"/>
    <w:rsid w:val="00845594"/>
    <w:rsid w:val="00845C92"/>
    <w:rsid w:val="00846137"/>
    <w:rsid w:val="00850CD1"/>
    <w:rsid w:val="008517A6"/>
    <w:rsid w:val="00851DCB"/>
    <w:rsid w:val="00852218"/>
    <w:rsid w:val="00852F8A"/>
    <w:rsid w:val="0085309D"/>
    <w:rsid w:val="00853F75"/>
    <w:rsid w:val="0085469F"/>
    <w:rsid w:val="008560AD"/>
    <w:rsid w:val="00857208"/>
    <w:rsid w:val="00857829"/>
    <w:rsid w:val="008579DF"/>
    <w:rsid w:val="008708F7"/>
    <w:rsid w:val="00871609"/>
    <w:rsid w:val="00873E85"/>
    <w:rsid w:val="00874707"/>
    <w:rsid w:val="008747BF"/>
    <w:rsid w:val="0087493F"/>
    <w:rsid w:val="008761FA"/>
    <w:rsid w:val="008763F3"/>
    <w:rsid w:val="00877409"/>
    <w:rsid w:val="008806CC"/>
    <w:rsid w:val="00883696"/>
    <w:rsid w:val="00885640"/>
    <w:rsid w:val="008857CA"/>
    <w:rsid w:val="00886586"/>
    <w:rsid w:val="008877E0"/>
    <w:rsid w:val="00887D12"/>
    <w:rsid w:val="00890353"/>
    <w:rsid w:val="008904D8"/>
    <w:rsid w:val="0089068D"/>
    <w:rsid w:val="0089483D"/>
    <w:rsid w:val="00894B7D"/>
    <w:rsid w:val="00894D6D"/>
    <w:rsid w:val="008952D2"/>
    <w:rsid w:val="0089603E"/>
    <w:rsid w:val="0089626E"/>
    <w:rsid w:val="008969D4"/>
    <w:rsid w:val="0089724E"/>
    <w:rsid w:val="00897960"/>
    <w:rsid w:val="008A04BF"/>
    <w:rsid w:val="008A0F1C"/>
    <w:rsid w:val="008A18E4"/>
    <w:rsid w:val="008A3C94"/>
    <w:rsid w:val="008A4D2F"/>
    <w:rsid w:val="008A7D5D"/>
    <w:rsid w:val="008B2A09"/>
    <w:rsid w:val="008B3A75"/>
    <w:rsid w:val="008B4D33"/>
    <w:rsid w:val="008B6279"/>
    <w:rsid w:val="008B679A"/>
    <w:rsid w:val="008B6CF6"/>
    <w:rsid w:val="008C003B"/>
    <w:rsid w:val="008C038A"/>
    <w:rsid w:val="008C0DBD"/>
    <w:rsid w:val="008C0E2D"/>
    <w:rsid w:val="008C3AB6"/>
    <w:rsid w:val="008C3F01"/>
    <w:rsid w:val="008C4A25"/>
    <w:rsid w:val="008C79A7"/>
    <w:rsid w:val="008D01CC"/>
    <w:rsid w:val="008D1757"/>
    <w:rsid w:val="008D2184"/>
    <w:rsid w:val="008D2220"/>
    <w:rsid w:val="008D3D18"/>
    <w:rsid w:val="008D57EF"/>
    <w:rsid w:val="008E1928"/>
    <w:rsid w:val="008E3309"/>
    <w:rsid w:val="008E3F0B"/>
    <w:rsid w:val="008E550B"/>
    <w:rsid w:val="008E578E"/>
    <w:rsid w:val="008E6B17"/>
    <w:rsid w:val="008E7161"/>
    <w:rsid w:val="008F194B"/>
    <w:rsid w:val="008F2CB2"/>
    <w:rsid w:val="008F40E3"/>
    <w:rsid w:val="008F5970"/>
    <w:rsid w:val="008F5DB5"/>
    <w:rsid w:val="008F7728"/>
    <w:rsid w:val="009005D3"/>
    <w:rsid w:val="00902EB0"/>
    <w:rsid w:val="0090485E"/>
    <w:rsid w:val="009065E3"/>
    <w:rsid w:val="009066B9"/>
    <w:rsid w:val="00906A8B"/>
    <w:rsid w:val="00910F4D"/>
    <w:rsid w:val="00911DC0"/>
    <w:rsid w:val="0091221A"/>
    <w:rsid w:val="009133BE"/>
    <w:rsid w:val="00915274"/>
    <w:rsid w:val="009152F8"/>
    <w:rsid w:val="009166E7"/>
    <w:rsid w:val="009168D9"/>
    <w:rsid w:val="00916BA8"/>
    <w:rsid w:val="00916BF1"/>
    <w:rsid w:val="0091742E"/>
    <w:rsid w:val="009205BE"/>
    <w:rsid w:val="0092453C"/>
    <w:rsid w:val="00924DE9"/>
    <w:rsid w:val="00925E26"/>
    <w:rsid w:val="009260AD"/>
    <w:rsid w:val="009323F3"/>
    <w:rsid w:val="00932424"/>
    <w:rsid w:val="00932C0F"/>
    <w:rsid w:val="00933670"/>
    <w:rsid w:val="00934090"/>
    <w:rsid w:val="00934534"/>
    <w:rsid w:val="0093556E"/>
    <w:rsid w:val="00935A8E"/>
    <w:rsid w:val="0093604B"/>
    <w:rsid w:val="00936422"/>
    <w:rsid w:val="00936FD2"/>
    <w:rsid w:val="009404AF"/>
    <w:rsid w:val="00940E45"/>
    <w:rsid w:val="00942434"/>
    <w:rsid w:val="0094387B"/>
    <w:rsid w:val="00945137"/>
    <w:rsid w:val="00946014"/>
    <w:rsid w:val="009462F3"/>
    <w:rsid w:val="00947626"/>
    <w:rsid w:val="00947EBE"/>
    <w:rsid w:val="009500EF"/>
    <w:rsid w:val="009518C7"/>
    <w:rsid w:val="00951C4F"/>
    <w:rsid w:val="00952F1B"/>
    <w:rsid w:val="009537DF"/>
    <w:rsid w:val="009558C0"/>
    <w:rsid w:val="00955E57"/>
    <w:rsid w:val="009610A4"/>
    <w:rsid w:val="00961B97"/>
    <w:rsid w:val="00961E8C"/>
    <w:rsid w:val="00963FF5"/>
    <w:rsid w:val="00964803"/>
    <w:rsid w:val="00965AC0"/>
    <w:rsid w:val="00966A82"/>
    <w:rsid w:val="009670CA"/>
    <w:rsid w:val="00967335"/>
    <w:rsid w:val="00971C2C"/>
    <w:rsid w:val="00974A25"/>
    <w:rsid w:val="00980CC9"/>
    <w:rsid w:val="00981353"/>
    <w:rsid w:val="00982A0F"/>
    <w:rsid w:val="00982EB2"/>
    <w:rsid w:val="00983422"/>
    <w:rsid w:val="0098342B"/>
    <w:rsid w:val="0098346C"/>
    <w:rsid w:val="00984657"/>
    <w:rsid w:val="00985794"/>
    <w:rsid w:val="00987192"/>
    <w:rsid w:val="009877A1"/>
    <w:rsid w:val="009879ED"/>
    <w:rsid w:val="00990C92"/>
    <w:rsid w:val="00991018"/>
    <w:rsid w:val="00993320"/>
    <w:rsid w:val="00993D86"/>
    <w:rsid w:val="00993DAA"/>
    <w:rsid w:val="00995517"/>
    <w:rsid w:val="009A176F"/>
    <w:rsid w:val="009A55F5"/>
    <w:rsid w:val="009A5612"/>
    <w:rsid w:val="009A5ED2"/>
    <w:rsid w:val="009A69F8"/>
    <w:rsid w:val="009A71B6"/>
    <w:rsid w:val="009A7F98"/>
    <w:rsid w:val="009B0E1D"/>
    <w:rsid w:val="009B15B2"/>
    <w:rsid w:val="009B170E"/>
    <w:rsid w:val="009B2731"/>
    <w:rsid w:val="009B4247"/>
    <w:rsid w:val="009B5661"/>
    <w:rsid w:val="009B6927"/>
    <w:rsid w:val="009B71AD"/>
    <w:rsid w:val="009C05DC"/>
    <w:rsid w:val="009C0737"/>
    <w:rsid w:val="009C088B"/>
    <w:rsid w:val="009C0BE4"/>
    <w:rsid w:val="009C0D9E"/>
    <w:rsid w:val="009C1F6C"/>
    <w:rsid w:val="009C45EC"/>
    <w:rsid w:val="009C6121"/>
    <w:rsid w:val="009C63FB"/>
    <w:rsid w:val="009C69B5"/>
    <w:rsid w:val="009C6DF7"/>
    <w:rsid w:val="009D0BF4"/>
    <w:rsid w:val="009D0D21"/>
    <w:rsid w:val="009D120E"/>
    <w:rsid w:val="009D1230"/>
    <w:rsid w:val="009D1A4F"/>
    <w:rsid w:val="009D1C7D"/>
    <w:rsid w:val="009D35F5"/>
    <w:rsid w:val="009D479F"/>
    <w:rsid w:val="009D4990"/>
    <w:rsid w:val="009D5481"/>
    <w:rsid w:val="009D5890"/>
    <w:rsid w:val="009D6EFB"/>
    <w:rsid w:val="009D7944"/>
    <w:rsid w:val="009D7A49"/>
    <w:rsid w:val="009E03DD"/>
    <w:rsid w:val="009E08C8"/>
    <w:rsid w:val="009E091A"/>
    <w:rsid w:val="009E198B"/>
    <w:rsid w:val="009E1D1A"/>
    <w:rsid w:val="009E34FF"/>
    <w:rsid w:val="009E4C88"/>
    <w:rsid w:val="009E5030"/>
    <w:rsid w:val="009F08B9"/>
    <w:rsid w:val="009F0DBE"/>
    <w:rsid w:val="009F13F1"/>
    <w:rsid w:val="009F2209"/>
    <w:rsid w:val="009F26A8"/>
    <w:rsid w:val="009F2C31"/>
    <w:rsid w:val="009F2E44"/>
    <w:rsid w:val="009F36FC"/>
    <w:rsid w:val="009F3E03"/>
    <w:rsid w:val="009F4C0F"/>
    <w:rsid w:val="00A00E94"/>
    <w:rsid w:val="00A027C1"/>
    <w:rsid w:val="00A0420A"/>
    <w:rsid w:val="00A04444"/>
    <w:rsid w:val="00A06E15"/>
    <w:rsid w:val="00A073F1"/>
    <w:rsid w:val="00A07FF6"/>
    <w:rsid w:val="00A119BD"/>
    <w:rsid w:val="00A12016"/>
    <w:rsid w:val="00A12B05"/>
    <w:rsid w:val="00A15FE8"/>
    <w:rsid w:val="00A161A0"/>
    <w:rsid w:val="00A16984"/>
    <w:rsid w:val="00A208E4"/>
    <w:rsid w:val="00A22D12"/>
    <w:rsid w:val="00A23A55"/>
    <w:rsid w:val="00A2403A"/>
    <w:rsid w:val="00A24622"/>
    <w:rsid w:val="00A24FBD"/>
    <w:rsid w:val="00A250F2"/>
    <w:rsid w:val="00A27E30"/>
    <w:rsid w:val="00A32C24"/>
    <w:rsid w:val="00A352CB"/>
    <w:rsid w:val="00A364AA"/>
    <w:rsid w:val="00A36637"/>
    <w:rsid w:val="00A37836"/>
    <w:rsid w:val="00A379C7"/>
    <w:rsid w:val="00A37AC1"/>
    <w:rsid w:val="00A37D2A"/>
    <w:rsid w:val="00A40388"/>
    <w:rsid w:val="00A44BE0"/>
    <w:rsid w:val="00A44E99"/>
    <w:rsid w:val="00A4528C"/>
    <w:rsid w:val="00A46007"/>
    <w:rsid w:val="00A47DC8"/>
    <w:rsid w:val="00A52958"/>
    <w:rsid w:val="00A52CAA"/>
    <w:rsid w:val="00A5386A"/>
    <w:rsid w:val="00A5586C"/>
    <w:rsid w:val="00A56341"/>
    <w:rsid w:val="00A57255"/>
    <w:rsid w:val="00A607EE"/>
    <w:rsid w:val="00A60FD7"/>
    <w:rsid w:val="00A63426"/>
    <w:rsid w:val="00A634A9"/>
    <w:rsid w:val="00A636AF"/>
    <w:rsid w:val="00A6488F"/>
    <w:rsid w:val="00A6721C"/>
    <w:rsid w:val="00A70CEB"/>
    <w:rsid w:val="00A70DA0"/>
    <w:rsid w:val="00A710D4"/>
    <w:rsid w:val="00A71DDE"/>
    <w:rsid w:val="00A7272E"/>
    <w:rsid w:val="00A73111"/>
    <w:rsid w:val="00A734B0"/>
    <w:rsid w:val="00A73668"/>
    <w:rsid w:val="00A73C63"/>
    <w:rsid w:val="00A7499C"/>
    <w:rsid w:val="00A802C7"/>
    <w:rsid w:val="00A803D2"/>
    <w:rsid w:val="00A8160E"/>
    <w:rsid w:val="00A8382E"/>
    <w:rsid w:val="00A83DD3"/>
    <w:rsid w:val="00A84A6B"/>
    <w:rsid w:val="00A84AE5"/>
    <w:rsid w:val="00A90D71"/>
    <w:rsid w:val="00A90E6C"/>
    <w:rsid w:val="00A91C41"/>
    <w:rsid w:val="00A9222C"/>
    <w:rsid w:val="00A94352"/>
    <w:rsid w:val="00A97D09"/>
    <w:rsid w:val="00AA2287"/>
    <w:rsid w:val="00AA3732"/>
    <w:rsid w:val="00AA3E72"/>
    <w:rsid w:val="00AA7422"/>
    <w:rsid w:val="00AA7FCE"/>
    <w:rsid w:val="00AB0E9A"/>
    <w:rsid w:val="00AB2208"/>
    <w:rsid w:val="00AB292B"/>
    <w:rsid w:val="00AB3436"/>
    <w:rsid w:val="00AB47DC"/>
    <w:rsid w:val="00AB4AEA"/>
    <w:rsid w:val="00AB50A5"/>
    <w:rsid w:val="00AB5A03"/>
    <w:rsid w:val="00AB5CE3"/>
    <w:rsid w:val="00AB66B2"/>
    <w:rsid w:val="00AB7884"/>
    <w:rsid w:val="00AC0F5B"/>
    <w:rsid w:val="00AC2788"/>
    <w:rsid w:val="00AC2D29"/>
    <w:rsid w:val="00AC3841"/>
    <w:rsid w:val="00AC3FC7"/>
    <w:rsid w:val="00AC4085"/>
    <w:rsid w:val="00AC46EE"/>
    <w:rsid w:val="00AC59A7"/>
    <w:rsid w:val="00AD1FF6"/>
    <w:rsid w:val="00AD2C46"/>
    <w:rsid w:val="00AD36F5"/>
    <w:rsid w:val="00AD3D05"/>
    <w:rsid w:val="00AE0806"/>
    <w:rsid w:val="00AE15E7"/>
    <w:rsid w:val="00AE3271"/>
    <w:rsid w:val="00AE3F33"/>
    <w:rsid w:val="00AE51ED"/>
    <w:rsid w:val="00AE79FF"/>
    <w:rsid w:val="00AE7AFF"/>
    <w:rsid w:val="00AF0500"/>
    <w:rsid w:val="00AF20D9"/>
    <w:rsid w:val="00AF2471"/>
    <w:rsid w:val="00AF2E51"/>
    <w:rsid w:val="00AF2F98"/>
    <w:rsid w:val="00AF60A9"/>
    <w:rsid w:val="00AF798D"/>
    <w:rsid w:val="00B00B21"/>
    <w:rsid w:val="00B01691"/>
    <w:rsid w:val="00B02808"/>
    <w:rsid w:val="00B03474"/>
    <w:rsid w:val="00B034F9"/>
    <w:rsid w:val="00B04725"/>
    <w:rsid w:val="00B051A3"/>
    <w:rsid w:val="00B066A2"/>
    <w:rsid w:val="00B10541"/>
    <w:rsid w:val="00B1197E"/>
    <w:rsid w:val="00B12AE6"/>
    <w:rsid w:val="00B16290"/>
    <w:rsid w:val="00B20DE0"/>
    <w:rsid w:val="00B22D16"/>
    <w:rsid w:val="00B2322F"/>
    <w:rsid w:val="00B2536C"/>
    <w:rsid w:val="00B25965"/>
    <w:rsid w:val="00B25CD5"/>
    <w:rsid w:val="00B26A28"/>
    <w:rsid w:val="00B30085"/>
    <w:rsid w:val="00B30F6A"/>
    <w:rsid w:val="00B31BD5"/>
    <w:rsid w:val="00B34A02"/>
    <w:rsid w:val="00B35EDC"/>
    <w:rsid w:val="00B3722B"/>
    <w:rsid w:val="00B408A5"/>
    <w:rsid w:val="00B409F0"/>
    <w:rsid w:val="00B40FFF"/>
    <w:rsid w:val="00B418CA"/>
    <w:rsid w:val="00B41A54"/>
    <w:rsid w:val="00B42634"/>
    <w:rsid w:val="00B42F75"/>
    <w:rsid w:val="00B47472"/>
    <w:rsid w:val="00B47B01"/>
    <w:rsid w:val="00B51459"/>
    <w:rsid w:val="00B53950"/>
    <w:rsid w:val="00B54163"/>
    <w:rsid w:val="00B56435"/>
    <w:rsid w:val="00B56D57"/>
    <w:rsid w:val="00B60D0B"/>
    <w:rsid w:val="00B61C37"/>
    <w:rsid w:val="00B6200E"/>
    <w:rsid w:val="00B624A7"/>
    <w:rsid w:val="00B63AD5"/>
    <w:rsid w:val="00B63BAF"/>
    <w:rsid w:val="00B65878"/>
    <w:rsid w:val="00B66F7F"/>
    <w:rsid w:val="00B70B31"/>
    <w:rsid w:val="00B72600"/>
    <w:rsid w:val="00B749B5"/>
    <w:rsid w:val="00B751B7"/>
    <w:rsid w:val="00B756E0"/>
    <w:rsid w:val="00B75749"/>
    <w:rsid w:val="00B75DC8"/>
    <w:rsid w:val="00B7670F"/>
    <w:rsid w:val="00B775F4"/>
    <w:rsid w:val="00B8020F"/>
    <w:rsid w:val="00B8179E"/>
    <w:rsid w:val="00B81A18"/>
    <w:rsid w:val="00B81FB2"/>
    <w:rsid w:val="00B828B0"/>
    <w:rsid w:val="00B82C5A"/>
    <w:rsid w:val="00B8382B"/>
    <w:rsid w:val="00B85030"/>
    <w:rsid w:val="00B869EC"/>
    <w:rsid w:val="00B86A6D"/>
    <w:rsid w:val="00B86C31"/>
    <w:rsid w:val="00B921E3"/>
    <w:rsid w:val="00B92E93"/>
    <w:rsid w:val="00B93985"/>
    <w:rsid w:val="00B94703"/>
    <w:rsid w:val="00B94822"/>
    <w:rsid w:val="00B959CB"/>
    <w:rsid w:val="00B96912"/>
    <w:rsid w:val="00BA1F67"/>
    <w:rsid w:val="00BA30AE"/>
    <w:rsid w:val="00BA3DCD"/>
    <w:rsid w:val="00BA5CCE"/>
    <w:rsid w:val="00BA5E44"/>
    <w:rsid w:val="00BA67B9"/>
    <w:rsid w:val="00BA6C81"/>
    <w:rsid w:val="00BA741D"/>
    <w:rsid w:val="00BB0068"/>
    <w:rsid w:val="00BB2304"/>
    <w:rsid w:val="00BB2673"/>
    <w:rsid w:val="00BB2ACF"/>
    <w:rsid w:val="00BB42FE"/>
    <w:rsid w:val="00BB5057"/>
    <w:rsid w:val="00BB537B"/>
    <w:rsid w:val="00BB76EF"/>
    <w:rsid w:val="00BC1CAB"/>
    <w:rsid w:val="00BC293F"/>
    <w:rsid w:val="00BC4A09"/>
    <w:rsid w:val="00BC54AA"/>
    <w:rsid w:val="00BC68FE"/>
    <w:rsid w:val="00BC6D25"/>
    <w:rsid w:val="00BC7EE6"/>
    <w:rsid w:val="00BD04A0"/>
    <w:rsid w:val="00BD0A00"/>
    <w:rsid w:val="00BD16F5"/>
    <w:rsid w:val="00BD25C9"/>
    <w:rsid w:val="00BD3043"/>
    <w:rsid w:val="00BD313F"/>
    <w:rsid w:val="00BE1CA3"/>
    <w:rsid w:val="00BE2FC2"/>
    <w:rsid w:val="00BF04AF"/>
    <w:rsid w:val="00BF1F5E"/>
    <w:rsid w:val="00BF4272"/>
    <w:rsid w:val="00BF4F46"/>
    <w:rsid w:val="00BF513D"/>
    <w:rsid w:val="00C00C20"/>
    <w:rsid w:val="00C03C85"/>
    <w:rsid w:val="00C0412E"/>
    <w:rsid w:val="00C11035"/>
    <w:rsid w:val="00C1216E"/>
    <w:rsid w:val="00C12DAD"/>
    <w:rsid w:val="00C13308"/>
    <w:rsid w:val="00C13488"/>
    <w:rsid w:val="00C14912"/>
    <w:rsid w:val="00C14FB9"/>
    <w:rsid w:val="00C16235"/>
    <w:rsid w:val="00C23037"/>
    <w:rsid w:val="00C24465"/>
    <w:rsid w:val="00C24B4E"/>
    <w:rsid w:val="00C30D65"/>
    <w:rsid w:val="00C3297A"/>
    <w:rsid w:val="00C32E67"/>
    <w:rsid w:val="00C3384B"/>
    <w:rsid w:val="00C33C5D"/>
    <w:rsid w:val="00C34B52"/>
    <w:rsid w:val="00C365B4"/>
    <w:rsid w:val="00C374BE"/>
    <w:rsid w:val="00C4087C"/>
    <w:rsid w:val="00C41101"/>
    <w:rsid w:val="00C41567"/>
    <w:rsid w:val="00C41E31"/>
    <w:rsid w:val="00C42336"/>
    <w:rsid w:val="00C42356"/>
    <w:rsid w:val="00C42DFF"/>
    <w:rsid w:val="00C42F43"/>
    <w:rsid w:val="00C4348F"/>
    <w:rsid w:val="00C439EC"/>
    <w:rsid w:val="00C4471A"/>
    <w:rsid w:val="00C45009"/>
    <w:rsid w:val="00C45736"/>
    <w:rsid w:val="00C459C4"/>
    <w:rsid w:val="00C46DB2"/>
    <w:rsid w:val="00C50B9A"/>
    <w:rsid w:val="00C51EAA"/>
    <w:rsid w:val="00C52091"/>
    <w:rsid w:val="00C5355E"/>
    <w:rsid w:val="00C5400C"/>
    <w:rsid w:val="00C56730"/>
    <w:rsid w:val="00C56C63"/>
    <w:rsid w:val="00C57432"/>
    <w:rsid w:val="00C60F2E"/>
    <w:rsid w:val="00C61501"/>
    <w:rsid w:val="00C62217"/>
    <w:rsid w:val="00C65253"/>
    <w:rsid w:val="00C71387"/>
    <w:rsid w:val="00C71738"/>
    <w:rsid w:val="00C735F6"/>
    <w:rsid w:val="00C75361"/>
    <w:rsid w:val="00C75D3A"/>
    <w:rsid w:val="00C7637B"/>
    <w:rsid w:val="00C765A0"/>
    <w:rsid w:val="00C76BB0"/>
    <w:rsid w:val="00C7755C"/>
    <w:rsid w:val="00C776B0"/>
    <w:rsid w:val="00C80AC4"/>
    <w:rsid w:val="00C81F28"/>
    <w:rsid w:val="00C82319"/>
    <w:rsid w:val="00C83100"/>
    <w:rsid w:val="00C8359D"/>
    <w:rsid w:val="00C83814"/>
    <w:rsid w:val="00C83E4A"/>
    <w:rsid w:val="00C85451"/>
    <w:rsid w:val="00C86F1F"/>
    <w:rsid w:val="00C946B0"/>
    <w:rsid w:val="00C947A7"/>
    <w:rsid w:val="00C94BA8"/>
    <w:rsid w:val="00C96C8D"/>
    <w:rsid w:val="00CA1933"/>
    <w:rsid w:val="00CA1FB9"/>
    <w:rsid w:val="00CA2D17"/>
    <w:rsid w:val="00CA4FA2"/>
    <w:rsid w:val="00CA5162"/>
    <w:rsid w:val="00CA7D32"/>
    <w:rsid w:val="00CB1AA0"/>
    <w:rsid w:val="00CB31A8"/>
    <w:rsid w:val="00CB3DA7"/>
    <w:rsid w:val="00CB4697"/>
    <w:rsid w:val="00CB6B8B"/>
    <w:rsid w:val="00CB6C66"/>
    <w:rsid w:val="00CB7FC9"/>
    <w:rsid w:val="00CC1E35"/>
    <w:rsid w:val="00CC291F"/>
    <w:rsid w:val="00CC30C3"/>
    <w:rsid w:val="00CC36DC"/>
    <w:rsid w:val="00CC5A5E"/>
    <w:rsid w:val="00CC5DBD"/>
    <w:rsid w:val="00CC6748"/>
    <w:rsid w:val="00CC6DAB"/>
    <w:rsid w:val="00CD0249"/>
    <w:rsid w:val="00CD10C5"/>
    <w:rsid w:val="00CD2E57"/>
    <w:rsid w:val="00CD3D85"/>
    <w:rsid w:val="00CD3E48"/>
    <w:rsid w:val="00CD5BEB"/>
    <w:rsid w:val="00CD5E0A"/>
    <w:rsid w:val="00CD6A30"/>
    <w:rsid w:val="00CD6E73"/>
    <w:rsid w:val="00CD74CE"/>
    <w:rsid w:val="00CD7A94"/>
    <w:rsid w:val="00CE0D4C"/>
    <w:rsid w:val="00CE1364"/>
    <w:rsid w:val="00CE1F61"/>
    <w:rsid w:val="00CE307A"/>
    <w:rsid w:val="00CE5609"/>
    <w:rsid w:val="00CE638A"/>
    <w:rsid w:val="00CE76F5"/>
    <w:rsid w:val="00CF5344"/>
    <w:rsid w:val="00CF5E97"/>
    <w:rsid w:val="00CF6E6C"/>
    <w:rsid w:val="00CF73F0"/>
    <w:rsid w:val="00D00F9A"/>
    <w:rsid w:val="00D011C2"/>
    <w:rsid w:val="00D01EF0"/>
    <w:rsid w:val="00D03EA6"/>
    <w:rsid w:val="00D04D23"/>
    <w:rsid w:val="00D0553F"/>
    <w:rsid w:val="00D057C5"/>
    <w:rsid w:val="00D05926"/>
    <w:rsid w:val="00D064A6"/>
    <w:rsid w:val="00D06B69"/>
    <w:rsid w:val="00D11BC0"/>
    <w:rsid w:val="00D120A0"/>
    <w:rsid w:val="00D1708B"/>
    <w:rsid w:val="00D2019F"/>
    <w:rsid w:val="00D21090"/>
    <w:rsid w:val="00D22440"/>
    <w:rsid w:val="00D2444C"/>
    <w:rsid w:val="00D24827"/>
    <w:rsid w:val="00D26ECF"/>
    <w:rsid w:val="00D27764"/>
    <w:rsid w:val="00D277E4"/>
    <w:rsid w:val="00D30620"/>
    <w:rsid w:val="00D30CFA"/>
    <w:rsid w:val="00D313A8"/>
    <w:rsid w:val="00D31B46"/>
    <w:rsid w:val="00D33670"/>
    <w:rsid w:val="00D34FE3"/>
    <w:rsid w:val="00D35722"/>
    <w:rsid w:val="00D409CE"/>
    <w:rsid w:val="00D41058"/>
    <w:rsid w:val="00D42EC6"/>
    <w:rsid w:val="00D435FC"/>
    <w:rsid w:val="00D43741"/>
    <w:rsid w:val="00D43A26"/>
    <w:rsid w:val="00D44DC4"/>
    <w:rsid w:val="00D46147"/>
    <w:rsid w:val="00D465CC"/>
    <w:rsid w:val="00D465EB"/>
    <w:rsid w:val="00D4696C"/>
    <w:rsid w:val="00D46EFF"/>
    <w:rsid w:val="00D50836"/>
    <w:rsid w:val="00D50B94"/>
    <w:rsid w:val="00D5193A"/>
    <w:rsid w:val="00D52CCE"/>
    <w:rsid w:val="00D53AD0"/>
    <w:rsid w:val="00D54B72"/>
    <w:rsid w:val="00D55096"/>
    <w:rsid w:val="00D553C9"/>
    <w:rsid w:val="00D556B4"/>
    <w:rsid w:val="00D5727F"/>
    <w:rsid w:val="00D60310"/>
    <w:rsid w:val="00D61A9B"/>
    <w:rsid w:val="00D62118"/>
    <w:rsid w:val="00D641D1"/>
    <w:rsid w:val="00D64AD0"/>
    <w:rsid w:val="00D671F8"/>
    <w:rsid w:val="00D67461"/>
    <w:rsid w:val="00D71625"/>
    <w:rsid w:val="00D7165F"/>
    <w:rsid w:val="00D727C4"/>
    <w:rsid w:val="00D728E8"/>
    <w:rsid w:val="00D7753E"/>
    <w:rsid w:val="00D8095E"/>
    <w:rsid w:val="00D81479"/>
    <w:rsid w:val="00D83D4B"/>
    <w:rsid w:val="00D84068"/>
    <w:rsid w:val="00D85502"/>
    <w:rsid w:val="00D85A9B"/>
    <w:rsid w:val="00D87BD2"/>
    <w:rsid w:val="00D910A6"/>
    <w:rsid w:val="00D91201"/>
    <w:rsid w:val="00D93E8B"/>
    <w:rsid w:val="00D9787F"/>
    <w:rsid w:val="00D97C0D"/>
    <w:rsid w:val="00D97E07"/>
    <w:rsid w:val="00D97FBD"/>
    <w:rsid w:val="00DA1A64"/>
    <w:rsid w:val="00DA23DA"/>
    <w:rsid w:val="00DA32B3"/>
    <w:rsid w:val="00DA579A"/>
    <w:rsid w:val="00DA5F30"/>
    <w:rsid w:val="00DB2007"/>
    <w:rsid w:val="00DB263B"/>
    <w:rsid w:val="00DB276B"/>
    <w:rsid w:val="00DB2A16"/>
    <w:rsid w:val="00DB3EBF"/>
    <w:rsid w:val="00DB4FB5"/>
    <w:rsid w:val="00DB74A9"/>
    <w:rsid w:val="00DB7C7B"/>
    <w:rsid w:val="00DC03D1"/>
    <w:rsid w:val="00DC0B93"/>
    <w:rsid w:val="00DC0BA9"/>
    <w:rsid w:val="00DC109A"/>
    <w:rsid w:val="00DC2113"/>
    <w:rsid w:val="00DC27EF"/>
    <w:rsid w:val="00DC2C40"/>
    <w:rsid w:val="00DC4095"/>
    <w:rsid w:val="00DC4AC2"/>
    <w:rsid w:val="00DC746E"/>
    <w:rsid w:val="00DD033E"/>
    <w:rsid w:val="00DD060C"/>
    <w:rsid w:val="00DD1099"/>
    <w:rsid w:val="00DD16F1"/>
    <w:rsid w:val="00DD34A9"/>
    <w:rsid w:val="00DD3B69"/>
    <w:rsid w:val="00DD526F"/>
    <w:rsid w:val="00DD56FF"/>
    <w:rsid w:val="00DD6A1E"/>
    <w:rsid w:val="00DD6D4C"/>
    <w:rsid w:val="00DD6DB1"/>
    <w:rsid w:val="00DD7C6D"/>
    <w:rsid w:val="00DE143F"/>
    <w:rsid w:val="00DE1861"/>
    <w:rsid w:val="00DE2301"/>
    <w:rsid w:val="00DE3BE6"/>
    <w:rsid w:val="00DE4A14"/>
    <w:rsid w:val="00DE64F3"/>
    <w:rsid w:val="00DE7C4B"/>
    <w:rsid w:val="00DF033B"/>
    <w:rsid w:val="00DF13CB"/>
    <w:rsid w:val="00DF14A4"/>
    <w:rsid w:val="00DF53C5"/>
    <w:rsid w:val="00DF5BDC"/>
    <w:rsid w:val="00DF5C99"/>
    <w:rsid w:val="00DF7129"/>
    <w:rsid w:val="00DF7F9A"/>
    <w:rsid w:val="00E00B4B"/>
    <w:rsid w:val="00E00EE5"/>
    <w:rsid w:val="00E01216"/>
    <w:rsid w:val="00E01A5F"/>
    <w:rsid w:val="00E01FB2"/>
    <w:rsid w:val="00E03D7C"/>
    <w:rsid w:val="00E03F74"/>
    <w:rsid w:val="00E04F74"/>
    <w:rsid w:val="00E0567C"/>
    <w:rsid w:val="00E05B73"/>
    <w:rsid w:val="00E06475"/>
    <w:rsid w:val="00E07738"/>
    <w:rsid w:val="00E1205E"/>
    <w:rsid w:val="00E14F66"/>
    <w:rsid w:val="00E15B03"/>
    <w:rsid w:val="00E16377"/>
    <w:rsid w:val="00E174E0"/>
    <w:rsid w:val="00E17EAE"/>
    <w:rsid w:val="00E200CC"/>
    <w:rsid w:val="00E20FA0"/>
    <w:rsid w:val="00E219FC"/>
    <w:rsid w:val="00E21DC8"/>
    <w:rsid w:val="00E2227F"/>
    <w:rsid w:val="00E23B04"/>
    <w:rsid w:val="00E23F97"/>
    <w:rsid w:val="00E25836"/>
    <w:rsid w:val="00E275CD"/>
    <w:rsid w:val="00E27B83"/>
    <w:rsid w:val="00E34F6F"/>
    <w:rsid w:val="00E35560"/>
    <w:rsid w:val="00E37A0F"/>
    <w:rsid w:val="00E4039A"/>
    <w:rsid w:val="00E40DD8"/>
    <w:rsid w:val="00E415D1"/>
    <w:rsid w:val="00E42FF8"/>
    <w:rsid w:val="00E431BD"/>
    <w:rsid w:val="00E501A2"/>
    <w:rsid w:val="00E50A9A"/>
    <w:rsid w:val="00E54B76"/>
    <w:rsid w:val="00E60CD4"/>
    <w:rsid w:val="00E6176C"/>
    <w:rsid w:val="00E61EA7"/>
    <w:rsid w:val="00E624EA"/>
    <w:rsid w:val="00E63869"/>
    <w:rsid w:val="00E64291"/>
    <w:rsid w:val="00E64FCD"/>
    <w:rsid w:val="00E66A89"/>
    <w:rsid w:val="00E66BC2"/>
    <w:rsid w:val="00E70509"/>
    <w:rsid w:val="00E7058C"/>
    <w:rsid w:val="00E7158B"/>
    <w:rsid w:val="00E71E60"/>
    <w:rsid w:val="00E72F37"/>
    <w:rsid w:val="00E73E9E"/>
    <w:rsid w:val="00E73FD3"/>
    <w:rsid w:val="00E74500"/>
    <w:rsid w:val="00E755D3"/>
    <w:rsid w:val="00E77817"/>
    <w:rsid w:val="00E800AB"/>
    <w:rsid w:val="00E802CC"/>
    <w:rsid w:val="00E8078C"/>
    <w:rsid w:val="00E826BD"/>
    <w:rsid w:val="00E8309D"/>
    <w:rsid w:val="00E83421"/>
    <w:rsid w:val="00E83DF5"/>
    <w:rsid w:val="00E8743C"/>
    <w:rsid w:val="00E87CF4"/>
    <w:rsid w:val="00E909C9"/>
    <w:rsid w:val="00E91799"/>
    <w:rsid w:val="00E92829"/>
    <w:rsid w:val="00E92CC8"/>
    <w:rsid w:val="00E92E34"/>
    <w:rsid w:val="00E95E65"/>
    <w:rsid w:val="00E963C7"/>
    <w:rsid w:val="00E972E0"/>
    <w:rsid w:val="00EA0D11"/>
    <w:rsid w:val="00EA2189"/>
    <w:rsid w:val="00EA2CB2"/>
    <w:rsid w:val="00EA2D61"/>
    <w:rsid w:val="00EA4E92"/>
    <w:rsid w:val="00EA5DDB"/>
    <w:rsid w:val="00EA77B6"/>
    <w:rsid w:val="00EA7849"/>
    <w:rsid w:val="00EB0386"/>
    <w:rsid w:val="00EB071F"/>
    <w:rsid w:val="00EB0A92"/>
    <w:rsid w:val="00EB1D3A"/>
    <w:rsid w:val="00EB4E2C"/>
    <w:rsid w:val="00EB6009"/>
    <w:rsid w:val="00EC07AA"/>
    <w:rsid w:val="00EC0D4F"/>
    <w:rsid w:val="00EC2235"/>
    <w:rsid w:val="00EC5F23"/>
    <w:rsid w:val="00EC700A"/>
    <w:rsid w:val="00ED0147"/>
    <w:rsid w:val="00ED06FD"/>
    <w:rsid w:val="00ED076C"/>
    <w:rsid w:val="00ED0C12"/>
    <w:rsid w:val="00ED1258"/>
    <w:rsid w:val="00ED1F51"/>
    <w:rsid w:val="00ED26BB"/>
    <w:rsid w:val="00ED2B23"/>
    <w:rsid w:val="00ED52BE"/>
    <w:rsid w:val="00ED5602"/>
    <w:rsid w:val="00EE0804"/>
    <w:rsid w:val="00EE0D85"/>
    <w:rsid w:val="00EE3566"/>
    <w:rsid w:val="00EE4EF8"/>
    <w:rsid w:val="00EE51F7"/>
    <w:rsid w:val="00EE7910"/>
    <w:rsid w:val="00EE7FA1"/>
    <w:rsid w:val="00EF09BD"/>
    <w:rsid w:val="00EF2EDC"/>
    <w:rsid w:val="00EF512C"/>
    <w:rsid w:val="00EF58D1"/>
    <w:rsid w:val="00F0014B"/>
    <w:rsid w:val="00F0024B"/>
    <w:rsid w:val="00F01929"/>
    <w:rsid w:val="00F02884"/>
    <w:rsid w:val="00F028E8"/>
    <w:rsid w:val="00F02FB3"/>
    <w:rsid w:val="00F030FC"/>
    <w:rsid w:val="00F040D8"/>
    <w:rsid w:val="00F043D1"/>
    <w:rsid w:val="00F045F8"/>
    <w:rsid w:val="00F04C77"/>
    <w:rsid w:val="00F05E79"/>
    <w:rsid w:val="00F07168"/>
    <w:rsid w:val="00F109DB"/>
    <w:rsid w:val="00F10B28"/>
    <w:rsid w:val="00F125F6"/>
    <w:rsid w:val="00F127AB"/>
    <w:rsid w:val="00F127FD"/>
    <w:rsid w:val="00F13BC7"/>
    <w:rsid w:val="00F14123"/>
    <w:rsid w:val="00F15907"/>
    <w:rsid w:val="00F20780"/>
    <w:rsid w:val="00F20A38"/>
    <w:rsid w:val="00F220AB"/>
    <w:rsid w:val="00F2472D"/>
    <w:rsid w:val="00F24FDE"/>
    <w:rsid w:val="00F253AB"/>
    <w:rsid w:val="00F25904"/>
    <w:rsid w:val="00F276C4"/>
    <w:rsid w:val="00F30DA8"/>
    <w:rsid w:val="00F33602"/>
    <w:rsid w:val="00F36A52"/>
    <w:rsid w:val="00F37D1A"/>
    <w:rsid w:val="00F41218"/>
    <w:rsid w:val="00F41708"/>
    <w:rsid w:val="00F41732"/>
    <w:rsid w:val="00F421F4"/>
    <w:rsid w:val="00F4299E"/>
    <w:rsid w:val="00F44245"/>
    <w:rsid w:val="00F45309"/>
    <w:rsid w:val="00F45778"/>
    <w:rsid w:val="00F47497"/>
    <w:rsid w:val="00F47904"/>
    <w:rsid w:val="00F47B8C"/>
    <w:rsid w:val="00F51DDB"/>
    <w:rsid w:val="00F53312"/>
    <w:rsid w:val="00F551E5"/>
    <w:rsid w:val="00F569DC"/>
    <w:rsid w:val="00F57143"/>
    <w:rsid w:val="00F57B07"/>
    <w:rsid w:val="00F60077"/>
    <w:rsid w:val="00F60890"/>
    <w:rsid w:val="00F616F8"/>
    <w:rsid w:val="00F630F4"/>
    <w:rsid w:val="00F63233"/>
    <w:rsid w:val="00F63527"/>
    <w:rsid w:val="00F643E0"/>
    <w:rsid w:val="00F64BC8"/>
    <w:rsid w:val="00F64C53"/>
    <w:rsid w:val="00F64E0F"/>
    <w:rsid w:val="00F65046"/>
    <w:rsid w:val="00F66999"/>
    <w:rsid w:val="00F66AAE"/>
    <w:rsid w:val="00F672B6"/>
    <w:rsid w:val="00F7073C"/>
    <w:rsid w:val="00F71C7F"/>
    <w:rsid w:val="00F72056"/>
    <w:rsid w:val="00F72278"/>
    <w:rsid w:val="00F7285D"/>
    <w:rsid w:val="00F72D3E"/>
    <w:rsid w:val="00F73AB2"/>
    <w:rsid w:val="00F73B3D"/>
    <w:rsid w:val="00F77BF0"/>
    <w:rsid w:val="00F80211"/>
    <w:rsid w:val="00F8227F"/>
    <w:rsid w:val="00F836A2"/>
    <w:rsid w:val="00F83723"/>
    <w:rsid w:val="00F83733"/>
    <w:rsid w:val="00F84D0E"/>
    <w:rsid w:val="00F85537"/>
    <w:rsid w:val="00F8746B"/>
    <w:rsid w:val="00F91768"/>
    <w:rsid w:val="00F9446B"/>
    <w:rsid w:val="00F95F50"/>
    <w:rsid w:val="00FA041A"/>
    <w:rsid w:val="00FA04F9"/>
    <w:rsid w:val="00FA0A3B"/>
    <w:rsid w:val="00FA1513"/>
    <w:rsid w:val="00FA19EF"/>
    <w:rsid w:val="00FA1C96"/>
    <w:rsid w:val="00FA28DD"/>
    <w:rsid w:val="00FA2B08"/>
    <w:rsid w:val="00FA7EA4"/>
    <w:rsid w:val="00FB0584"/>
    <w:rsid w:val="00FB15C0"/>
    <w:rsid w:val="00FB1E6F"/>
    <w:rsid w:val="00FB1F09"/>
    <w:rsid w:val="00FB22E4"/>
    <w:rsid w:val="00FB269C"/>
    <w:rsid w:val="00FB27EA"/>
    <w:rsid w:val="00FB2FCB"/>
    <w:rsid w:val="00FB336D"/>
    <w:rsid w:val="00FB7212"/>
    <w:rsid w:val="00FC05F5"/>
    <w:rsid w:val="00FC0A9F"/>
    <w:rsid w:val="00FC0F2C"/>
    <w:rsid w:val="00FC1050"/>
    <w:rsid w:val="00FC277C"/>
    <w:rsid w:val="00FC316E"/>
    <w:rsid w:val="00FC3201"/>
    <w:rsid w:val="00FC336A"/>
    <w:rsid w:val="00FC34B6"/>
    <w:rsid w:val="00FC4DB8"/>
    <w:rsid w:val="00FC55C1"/>
    <w:rsid w:val="00FC78D8"/>
    <w:rsid w:val="00FC7DE0"/>
    <w:rsid w:val="00FC7F2F"/>
    <w:rsid w:val="00FD0E26"/>
    <w:rsid w:val="00FD18F7"/>
    <w:rsid w:val="00FD2FF7"/>
    <w:rsid w:val="00FD3E87"/>
    <w:rsid w:val="00FD4EA5"/>
    <w:rsid w:val="00FD5FCB"/>
    <w:rsid w:val="00FD658D"/>
    <w:rsid w:val="00FE0DC2"/>
    <w:rsid w:val="00FE10AA"/>
    <w:rsid w:val="00FE1207"/>
    <w:rsid w:val="00FE12A2"/>
    <w:rsid w:val="00FE1470"/>
    <w:rsid w:val="00FE2C7D"/>
    <w:rsid w:val="00FE40A0"/>
    <w:rsid w:val="00FE4FF1"/>
    <w:rsid w:val="00FE639D"/>
    <w:rsid w:val="00FE72D9"/>
    <w:rsid w:val="00FF0E1D"/>
    <w:rsid w:val="00FF2448"/>
    <w:rsid w:val="00FF2BAC"/>
    <w:rsid w:val="00FF386F"/>
    <w:rsid w:val="00FF4B9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412B0"/>
    <w:rPr>
      <w:sz w:val="24"/>
      <w:szCs w:val="24"/>
      <w:lang w:val="en-GB"/>
    </w:rPr>
  </w:style>
  <w:style w:type="paragraph" w:styleId="Heading1">
    <w:name w:val="heading 1"/>
    <w:basedOn w:val="Normal"/>
    <w:next w:val="Normal"/>
    <w:link w:val="Heading1Char"/>
    <w:uiPriority w:val="99"/>
    <w:qFormat/>
    <w:rsid w:val="003412B0"/>
    <w:pPr>
      <w:keepNext/>
      <w:outlineLvl w:val="0"/>
    </w:pPr>
    <w:rPr>
      <w:b/>
      <w:bCs/>
      <w:sz w:val="32"/>
    </w:rPr>
  </w:style>
  <w:style w:type="paragraph" w:styleId="Heading2">
    <w:name w:val="heading 2"/>
    <w:basedOn w:val="Normal"/>
    <w:next w:val="Normal"/>
    <w:link w:val="Heading2Char"/>
    <w:uiPriority w:val="99"/>
    <w:qFormat/>
    <w:rsid w:val="003412B0"/>
    <w:pPr>
      <w:keepNext/>
      <w:outlineLvl w:val="1"/>
    </w:pPr>
    <w:rPr>
      <w:b/>
      <w:bCs/>
    </w:rPr>
  </w:style>
  <w:style w:type="paragraph" w:styleId="Heading3">
    <w:name w:val="heading 3"/>
    <w:basedOn w:val="Normal"/>
    <w:next w:val="Normal"/>
    <w:link w:val="Heading3Char"/>
    <w:uiPriority w:val="99"/>
    <w:qFormat/>
    <w:rsid w:val="003412B0"/>
    <w:pPr>
      <w:keepNext/>
      <w:numPr>
        <w:numId w:val="1"/>
      </w:numPr>
      <w:tabs>
        <w:tab w:val="num" w:pos="720"/>
      </w:tabs>
      <w:ind w:hanging="1080"/>
      <w:outlineLvl w:val="2"/>
    </w:pPr>
    <w:rPr>
      <w:b/>
      <w:bC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3412B0"/>
    <w:pPr>
      <w:keepNext/>
      <w:numPr>
        <w:numId w:val="2"/>
      </w:numPr>
      <w:outlineLvl w:val="3"/>
    </w:pPr>
    <w:rPr>
      <w:b/>
      <w:bCs/>
    </w:rPr>
  </w:style>
  <w:style w:type="paragraph" w:styleId="Heading5">
    <w:name w:val="heading 5"/>
    <w:basedOn w:val="Normal"/>
    <w:next w:val="Normal"/>
    <w:link w:val="Heading5Char"/>
    <w:uiPriority w:val="99"/>
    <w:qFormat/>
    <w:rsid w:val="003412B0"/>
    <w:pPr>
      <w:keepNext/>
      <w:ind w:left="720"/>
      <w:jc w:val="both"/>
      <w:outlineLvl w:val="4"/>
    </w:pPr>
    <w:rPr>
      <w:b/>
      <w:iCs/>
    </w:rPr>
  </w:style>
  <w:style w:type="paragraph" w:styleId="Heading6">
    <w:name w:val="heading 6"/>
    <w:basedOn w:val="Normal"/>
    <w:next w:val="Normal"/>
    <w:link w:val="Heading6Char"/>
    <w:uiPriority w:val="99"/>
    <w:qFormat/>
    <w:rsid w:val="003412B0"/>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3412B0"/>
    <w:pPr>
      <w:keepNext/>
      <w:ind w:left="360"/>
      <w:jc w:val="both"/>
      <w:outlineLvl w:val="6"/>
    </w:pPr>
    <w:rPr>
      <w:b/>
      <w:iCs/>
      <w:u w:val="single"/>
    </w:rPr>
  </w:style>
  <w:style w:type="paragraph" w:styleId="Heading8">
    <w:name w:val="heading 8"/>
    <w:basedOn w:val="Normal"/>
    <w:next w:val="Normal"/>
    <w:link w:val="Heading8Char"/>
    <w:uiPriority w:val="99"/>
    <w:qFormat/>
    <w:rsid w:val="003412B0"/>
    <w:pPr>
      <w:keepNext/>
      <w:jc w:val="both"/>
      <w:outlineLvl w:val="7"/>
    </w:pPr>
    <w:rPr>
      <w:b/>
      <w:bCs/>
    </w:rPr>
  </w:style>
  <w:style w:type="paragraph" w:styleId="Heading9">
    <w:name w:val="heading 9"/>
    <w:basedOn w:val="Normal"/>
    <w:next w:val="Normal"/>
    <w:link w:val="Heading9Char"/>
    <w:uiPriority w:val="99"/>
    <w:qFormat/>
    <w:rsid w:val="003412B0"/>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E87"/>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0D2BCE"/>
    <w:rPr>
      <w:rFonts w:cs="Times New Roman"/>
      <w:b/>
      <w:bCs/>
      <w:sz w:val="24"/>
      <w:szCs w:val="24"/>
      <w:lang w:eastAsia="en-US"/>
    </w:rPr>
  </w:style>
  <w:style w:type="character" w:customStyle="1" w:styleId="Heading3Char">
    <w:name w:val="Heading 3 Char"/>
    <w:basedOn w:val="DefaultParagraphFont"/>
    <w:link w:val="Heading3"/>
    <w:uiPriority w:val="99"/>
    <w:locked/>
    <w:rsid w:val="00FD3E87"/>
    <w:rPr>
      <w:rFonts w:cs="Times New Roman"/>
      <w:b/>
      <w:bCs/>
      <w:sz w:val="24"/>
      <w:szCs w:val="24"/>
      <w:lang w:val="en-GB"/>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locked/>
    <w:rsid w:val="00B418CA"/>
    <w:rPr>
      <w:rFonts w:cs="Times New Roman"/>
      <w:b/>
      <w:bCs/>
      <w:sz w:val="24"/>
      <w:szCs w:val="24"/>
      <w:lang w:val="en-GB"/>
    </w:rPr>
  </w:style>
  <w:style w:type="character" w:customStyle="1" w:styleId="Heading5Char">
    <w:name w:val="Heading 5 Char"/>
    <w:basedOn w:val="DefaultParagraphFont"/>
    <w:link w:val="Heading5"/>
    <w:uiPriority w:val="99"/>
    <w:semiHidden/>
    <w:locked/>
    <w:rsid w:val="00FD3E87"/>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locked/>
    <w:rsid w:val="00364CC3"/>
    <w:rPr>
      <w:rFonts w:cs="Times New Roman"/>
      <w:b/>
      <w:bCs/>
      <w:iCs/>
      <w:sz w:val="28"/>
      <w:szCs w:val="28"/>
      <w:lang w:eastAsia="en-US"/>
    </w:rPr>
  </w:style>
  <w:style w:type="character" w:customStyle="1" w:styleId="Heading7Char">
    <w:name w:val="Heading 7 Char"/>
    <w:basedOn w:val="DefaultParagraphFont"/>
    <w:link w:val="Heading7"/>
    <w:uiPriority w:val="99"/>
    <w:semiHidden/>
    <w:locked/>
    <w:rsid w:val="00FD3E87"/>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FD3E87"/>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FD3E87"/>
    <w:rPr>
      <w:rFonts w:ascii="Cambria" w:hAnsi="Cambria" w:cs="Times New Roman"/>
      <w:lang w:val="en-GB"/>
    </w:rPr>
  </w:style>
  <w:style w:type="paragraph" w:styleId="Footer">
    <w:name w:val="footer"/>
    <w:basedOn w:val="Normal"/>
    <w:link w:val="FooterChar"/>
    <w:uiPriority w:val="99"/>
    <w:rsid w:val="003412B0"/>
    <w:pPr>
      <w:tabs>
        <w:tab w:val="center" w:pos="4153"/>
        <w:tab w:val="right" w:pos="8306"/>
      </w:tabs>
    </w:pPr>
  </w:style>
  <w:style w:type="character" w:customStyle="1" w:styleId="FooterChar">
    <w:name w:val="Footer Char"/>
    <w:basedOn w:val="DefaultParagraphFont"/>
    <w:link w:val="Footer"/>
    <w:uiPriority w:val="99"/>
    <w:locked/>
    <w:rsid w:val="00FD3E87"/>
    <w:rPr>
      <w:rFonts w:cs="Times New Roman"/>
      <w:sz w:val="24"/>
      <w:szCs w:val="24"/>
      <w:lang w:val="en-GB"/>
    </w:rPr>
  </w:style>
  <w:style w:type="character" w:styleId="PageNumber">
    <w:name w:val="page number"/>
    <w:basedOn w:val="DefaultParagraphFont"/>
    <w:uiPriority w:val="99"/>
    <w:rsid w:val="003412B0"/>
    <w:rPr>
      <w:rFonts w:cs="Times New Roman"/>
    </w:rPr>
  </w:style>
  <w:style w:type="paragraph" w:styleId="BodyTextIndent">
    <w:name w:val="Body Text Indent"/>
    <w:basedOn w:val="Normal"/>
    <w:link w:val="BodyTextIndentChar"/>
    <w:uiPriority w:val="99"/>
    <w:rsid w:val="003412B0"/>
    <w:pPr>
      <w:ind w:left="360"/>
    </w:pPr>
    <w:rPr>
      <w:iCs/>
    </w:rPr>
  </w:style>
  <w:style w:type="character" w:customStyle="1" w:styleId="BodyTextIndentChar">
    <w:name w:val="Body Text Indent Char"/>
    <w:basedOn w:val="DefaultParagraphFont"/>
    <w:link w:val="BodyTextIndent"/>
    <w:uiPriority w:val="99"/>
    <w:locked/>
    <w:rsid w:val="00364CC3"/>
    <w:rPr>
      <w:rFonts w:cs="Times New Roman"/>
      <w:iCs/>
      <w:sz w:val="24"/>
      <w:szCs w:val="24"/>
      <w:lang w:eastAsia="en-US"/>
    </w:rPr>
  </w:style>
  <w:style w:type="paragraph" w:styleId="BodyTextIndent2">
    <w:name w:val="Body Text Indent 2"/>
    <w:basedOn w:val="Normal"/>
    <w:link w:val="BodyTextIndent2Char"/>
    <w:uiPriority w:val="99"/>
    <w:rsid w:val="003412B0"/>
    <w:pPr>
      <w:ind w:left="720"/>
      <w:jc w:val="both"/>
    </w:pPr>
    <w:rPr>
      <w:bCs/>
      <w:iCs/>
    </w:rPr>
  </w:style>
  <w:style w:type="character" w:customStyle="1" w:styleId="BodyTextIndent2Char">
    <w:name w:val="Body Text Indent 2 Char"/>
    <w:basedOn w:val="DefaultParagraphFont"/>
    <w:link w:val="BodyTextIndent2"/>
    <w:uiPriority w:val="99"/>
    <w:locked/>
    <w:rsid w:val="00594963"/>
    <w:rPr>
      <w:rFonts w:cs="Times New Roman"/>
      <w:bCs/>
      <w:iCs/>
      <w:sz w:val="24"/>
      <w:szCs w:val="24"/>
      <w:lang w:eastAsia="en-US"/>
    </w:rPr>
  </w:style>
  <w:style w:type="paragraph" w:styleId="BodyTextIndent3">
    <w:name w:val="Body Text Indent 3"/>
    <w:basedOn w:val="Normal"/>
    <w:link w:val="BodyTextIndent3Char"/>
    <w:uiPriority w:val="99"/>
    <w:rsid w:val="003412B0"/>
    <w:pPr>
      <w:ind w:left="360"/>
      <w:jc w:val="both"/>
    </w:pPr>
    <w:rPr>
      <w:iCs/>
    </w:rPr>
  </w:style>
  <w:style w:type="character" w:customStyle="1" w:styleId="BodyTextIndent3Char">
    <w:name w:val="Body Text Indent 3 Char"/>
    <w:basedOn w:val="DefaultParagraphFont"/>
    <w:link w:val="BodyTextIndent3"/>
    <w:uiPriority w:val="99"/>
    <w:locked/>
    <w:rsid w:val="00364CC3"/>
    <w:rPr>
      <w:rFonts w:cs="Times New Roman"/>
      <w:iCs/>
      <w:sz w:val="24"/>
      <w:szCs w:val="24"/>
      <w:lang w:eastAsia="en-US"/>
    </w:rPr>
  </w:style>
  <w:style w:type="paragraph" w:styleId="BodyText">
    <w:name w:val="Body Text"/>
    <w:basedOn w:val="Normal"/>
    <w:link w:val="BodyTextChar"/>
    <w:uiPriority w:val="99"/>
    <w:rsid w:val="003412B0"/>
    <w:pPr>
      <w:jc w:val="both"/>
    </w:pPr>
    <w:rPr>
      <w:sz w:val="22"/>
    </w:rPr>
  </w:style>
  <w:style w:type="character" w:customStyle="1" w:styleId="BodyTextChar">
    <w:name w:val="Body Text Char"/>
    <w:basedOn w:val="DefaultParagraphFont"/>
    <w:link w:val="BodyText"/>
    <w:uiPriority w:val="99"/>
    <w:semiHidden/>
    <w:locked/>
    <w:rsid w:val="00FD3E87"/>
    <w:rPr>
      <w:rFonts w:cs="Times New Roman"/>
      <w:sz w:val="24"/>
      <w:szCs w:val="24"/>
      <w:lang w:val="en-GB"/>
    </w:rPr>
  </w:style>
  <w:style w:type="paragraph" w:styleId="BodyText2">
    <w:name w:val="Body Text 2"/>
    <w:basedOn w:val="Normal"/>
    <w:link w:val="BodyText2Char"/>
    <w:uiPriority w:val="99"/>
    <w:rsid w:val="003412B0"/>
    <w:pPr>
      <w:jc w:val="center"/>
    </w:pPr>
    <w:rPr>
      <w:rFonts w:ascii="Arial" w:hAnsi="Arial" w:cs="Arial"/>
      <w:b/>
      <w:bCs/>
    </w:rPr>
  </w:style>
  <w:style w:type="character" w:customStyle="1" w:styleId="BodyText2Char">
    <w:name w:val="Body Text 2 Char"/>
    <w:basedOn w:val="DefaultParagraphFont"/>
    <w:link w:val="BodyText2"/>
    <w:uiPriority w:val="99"/>
    <w:semiHidden/>
    <w:locked/>
    <w:rsid w:val="00FD3E87"/>
    <w:rPr>
      <w:rFonts w:cs="Times New Roman"/>
      <w:sz w:val="24"/>
      <w:szCs w:val="24"/>
      <w:lang w:val="en-GB"/>
    </w:rPr>
  </w:style>
  <w:style w:type="paragraph" w:customStyle="1" w:styleId="Pa3">
    <w:name w:val="Pa3"/>
    <w:basedOn w:val="Normal"/>
    <w:next w:val="Normal"/>
    <w:uiPriority w:val="99"/>
    <w:rsid w:val="003412B0"/>
    <w:pPr>
      <w:autoSpaceDE w:val="0"/>
      <w:autoSpaceDN w:val="0"/>
      <w:adjustRightInd w:val="0"/>
      <w:spacing w:after="220" w:line="201" w:lineRule="atLeast"/>
    </w:pPr>
    <w:rPr>
      <w:rFonts w:ascii="Univers" w:hAnsi="Univers"/>
      <w:lang w:val="en-US"/>
    </w:rPr>
  </w:style>
  <w:style w:type="paragraph" w:styleId="BalloonText">
    <w:name w:val="Balloon Text"/>
    <w:basedOn w:val="Normal"/>
    <w:link w:val="BalloonTextChar"/>
    <w:uiPriority w:val="99"/>
    <w:semiHidden/>
    <w:rsid w:val="003412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3E87"/>
    <w:rPr>
      <w:rFonts w:cs="Times New Roman"/>
      <w:sz w:val="2"/>
      <w:lang w:val="en-GB"/>
    </w:rPr>
  </w:style>
  <w:style w:type="paragraph" w:styleId="ListParagraph">
    <w:name w:val="List Paragraph"/>
    <w:basedOn w:val="Normal"/>
    <w:uiPriority w:val="99"/>
    <w:qFormat/>
    <w:rsid w:val="00A52958"/>
    <w:pPr>
      <w:spacing w:after="200" w:line="276" w:lineRule="auto"/>
      <w:ind w:left="720"/>
      <w:contextualSpacing/>
    </w:pPr>
    <w:rPr>
      <w:rFonts w:ascii="Calibri" w:hAnsi="Calibri"/>
      <w:sz w:val="22"/>
      <w:szCs w:val="22"/>
    </w:rPr>
  </w:style>
  <w:style w:type="table" w:styleId="TableGrid">
    <w:name w:val="Table Grid"/>
    <w:basedOn w:val="TableNormal"/>
    <w:uiPriority w:val="99"/>
    <w:rsid w:val="00A52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E239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FD3E87"/>
    <w:rPr>
      <w:rFonts w:cs="Times New Roman"/>
      <w:sz w:val="2"/>
      <w:lang w:val="en-GB"/>
    </w:rPr>
  </w:style>
  <w:style w:type="paragraph" w:customStyle="1" w:styleId="Default">
    <w:name w:val="Default"/>
    <w:uiPriority w:val="99"/>
    <w:rsid w:val="005729FB"/>
    <w:pPr>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CB6B8B"/>
    <w:pPr>
      <w:spacing w:before="145" w:after="73"/>
    </w:pPr>
    <w:rPr>
      <w:sz w:val="18"/>
      <w:szCs w:val="18"/>
      <w:lang w:eastAsia="en-GB"/>
    </w:rPr>
  </w:style>
  <w:style w:type="character" w:styleId="CommentReference">
    <w:name w:val="annotation reference"/>
    <w:basedOn w:val="DefaultParagraphFont"/>
    <w:uiPriority w:val="99"/>
    <w:rsid w:val="008F2CB2"/>
    <w:rPr>
      <w:rFonts w:cs="Times New Roman"/>
      <w:sz w:val="16"/>
      <w:szCs w:val="16"/>
    </w:rPr>
  </w:style>
  <w:style w:type="paragraph" w:styleId="CommentText">
    <w:name w:val="annotation text"/>
    <w:basedOn w:val="Normal"/>
    <w:link w:val="CommentTextChar"/>
    <w:uiPriority w:val="99"/>
    <w:rsid w:val="008F2CB2"/>
    <w:rPr>
      <w:sz w:val="20"/>
      <w:szCs w:val="20"/>
    </w:rPr>
  </w:style>
  <w:style w:type="character" w:customStyle="1" w:styleId="CommentTextChar">
    <w:name w:val="Comment Text Char"/>
    <w:basedOn w:val="DefaultParagraphFont"/>
    <w:link w:val="CommentText"/>
    <w:uiPriority w:val="99"/>
    <w:locked/>
    <w:rsid w:val="008F2CB2"/>
    <w:rPr>
      <w:rFonts w:cs="Times New Roman"/>
      <w:lang w:eastAsia="en-US"/>
    </w:rPr>
  </w:style>
  <w:style w:type="paragraph" w:styleId="CommentSubject">
    <w:name w:val="annotation subject"/>
    <w:basedOn w:val="CommentText"/>
    <w:next w:val="CommentText"/>
    <w:link w:val="CommentSubjectChar"/>
    <w:uiPriority w:val="99"/>
    <w:rsid w:val="008F2CB2"/>
    <w:rPr>
      <w:b/>
      <w:bCs/>
    </w:rPr>
  </w:style>
  <w:style w:type="character" w:customStyle="1" w:styleId="CommentSubjectChar">
    <w:name w:val="Comment Subject Char"/>
    <w:basedOn w:val="CommentTextChar"/>
    <w:link w:val="CommentSubject"/>
    <w:uiPriority w:val="99"/>
    <w:locked/>
    <w:rsid w:val="008F2CB2"/>
    <w:rPr>
      <w:b/>
      <w:bCs/>
    </w:rPr>
  </w:style>
  <w:style w:type="paragraph" w:styleId="Header">
    <w:name w:val="header"/>
    <w:basedOn w:val="Normal"/>
    <w:link w:val="HeaderChar"/>
    <w:rsid w:val="00987192"/>
    <w:pPr>
      <w:tabs>
        <w:tab w:val="center" w:pos="4513"/>
        <w:tab w:val="right" w:pos="9026"/>
      </w:tabs>
    </w:pPr>
  </w:style>
  <w:style w:type="character" w:customStyle="1" w:styleId="HeaderChar">
    <w:name w:val="Header Char"/>
    <w:basedOn w:val="DefaultParagraphFont"/>
    <w:link w:val="Header"/>
    <w:uiPriority w:val="99"/>
    <w:locked/>
    <w:rsid w:val="00987192"/>
    <w:rPr>
      <w:rFonts w:cs="Times New Roman"/>
      <w:sz w:val="24"/>
      <w:szCs w:val="24"/>
      <w:lang w:eastAsia="en-US"/>
    </w:rPr>
  </w:style>
  <w:style w:type="paragraph" w:styleId="Title">
    <w:name w:val="Title"/>
    <w:basedOn w:val="Normal"/>
    <w:link w:val="TitleChar"/>
    <w:uiPriority w:val="99"/>
    <w:qFormat/>
    <w:rsid w:val="00987192"/>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99"/>
    <w:locked/>
    <w:rsid w:val="00987192"/>
    <w:rPr>
      <w:rFonts w:cs="Times New Roman"/>
      <w:b/>
      <w:sz w:val="22"/>
      <w:lang w:eastAsia="en-US"/>
    </w:rPr>
  </w:style>
  <w:style w:type="character" w:customStyle="1" w:styleId="CharChar4">
    <w:name w:val="Char Char4"/>
    <w:basedOn w:val="DefaultParagraphFont"/>
    <w:uiPriority w:val="99"/>
    <w:locked/>
    <w:rsid w:val="0068381A"/>
    <w:rPr>
      <w:rFonts w:cs="Times New Roman"/>
      <w:iCs/>
      <w:sz w:val="24"/>
      <w:szCs w:val="24"/>
      <w:lang w:eastAsia="en-US"/>
    </w:rPr>
  </w:style>
  <w:style w:type="character" w:customStyle="1" w:styleId="CharChar6">
    <w:name w:val="Char Char6"/>
    <w:basedOn w:val="DefaultParagraphFont"/>
    <w:uiPriority w:val="99"/>
    <w:locked/>
    <w:rsid w:val="006C0D89"/>
    <w:rPr>
      <w:rFonts w:cs="Times New Roman"/>
      <w:iCs/>
      <w:sz w:val="24"/>
      <w:szCs w:val="24"/>
      <w:lang w:eastAsia="en-US"/>
    </w:rPr>
  </w:style>
</w:styles>
</file>

<file path=word/webSettings.xml><?xml version="1.0" encoding="utf-8"?>
<w:webSettings xmlns:r="http://schemas.openxmlformats.org/officeDocument/2006/relationships" xmlns:w="http://schemas.openxmlformats.org/wordprocessingml/2006/main">
  <w:divs>
    <w:div w:id="82580061">
      <w:bodyDiv w:val="1"/>
      <w:marLeft w:val="0"/>
      <w:marRight w:val="0"/>
      <w:marTop w:val="0"/>
      <w:marBottom w:val="0"/>
      <w:divBdr>
        <w:top w:val="none" w:sz="0" w:space="0" w:color="auto"/>
        <w:left w:val="none" w:sz="0" w:space="0" w:color="auto"/>
        <w:bottom w:val="none" w:sz="0" w:space="0" w:color="auto"/>
        <w:right w:val="none" w:sz="0" w:space="0" w:color="auto"/>
      </w:divBdr>
    </w:div>
    <w:div w:id="167528724">
      <w:bodyDiv w:val="1"/>
      <w:marLeft w:val="0"/>
      <w:marRight w:val="0"/>
      <w:marTop w:val="0"/>
      <w:marBottom w:val="0"/>
      <w:divBdr>
        <w:top w:val="none" w:sz="0" w:space="0" w:color="auto"/>
        <w:left w:val="none" w:sz="0" w:space="0" w:color="auto"/>
        <w:bottom w:val="none" w:sz="0" w:space="0" w:color="auto"/>
        <w:right w:val="none" w:sz="0" w:space="0" w:color="auto"/>
      </w:divBdr>
    </w:div>
    <w:div w:id="184908256">
      <w:bodyDiv w:val="1"/>
      <w:marLeft w:val="0"/>
      <w:marRight w:val="0"/>
      <w:marTop w:val="0"/>
      <w:marBottom w:val="0"/>
      <w:divBdr>
        <w:top w:val="none" w:sz="0" w:space="0" w:color="auto"/>
        <w:left w:val="none" w:sz="0" w:space="0" w:color="auto"/>
        <w:bottom w:val="none" w:sz="0" w:space="0" w:color="auto"/>
        <w:right w:val="none" w:sz="0" w:space="0" w:color="auto"/>
      </w:divBdr>
    </w:div>
    <w:div w:id="965891823">
      <w:bodyDiv w:val="1"/>
      <w:marLeft w:val="0"/>
      <w:marRight w:val="0"/>
      <w:marTop w:val="0"/>
      <w:marBottom w:val="0"/>
      <w:divBdr>
        <w:top w:val="none" w:sz="0" w:space="0" w:color="auto"/>
        <w:left w:val="none" w:sz="0" w:space="0" w:color="auto"/>
        <w:bottom w:val="none" w:sz="0" w:space="0" w:color="auto"/>
        <w:right w:val="none" w:sz="0" w:space="0" w:color="auto"/>
      </w:divBdr>
    </w:div>
    <w:div w:id="1756392502">
      <w:marLeft w:val="0"/>
      <w:marRight w:val="0"/>
      <w:marTop w:val="0"/>
      <w:marBottom w:val="0"/>
      <w:divBdr>
        <w:top w:val="none" w:sz="0" w:space="0" w:color="auto"/>
        <w:left w:val="none" w:sz="0" w:space="0" w:color="auto"/>
        <w:bottom w:val="none" w:sz="0" w:space="0" w:color="auto"/>
        <w:right w:val="none" w:sz="0" w:space="0" w:color="auto"/>
      </w:divBdr>
      <w:divsChild>
        <w:div w:id="1756392503">
          <w:marLeft w:val="864"/>
          <w:marRight w:val="0"/>
          <w:marTop w:val="134"/>
          <w:marBottom w:val="0"/>
          <w:divBdr>
            <w:top w:val="none" w:sz="0" w:space="0" w:color="auto"/>
            <w:left w:val="none" w:sz="0" w:space="0" w:color="auto"/>
            <w:bottom w:val="none" w:sz="0" w:space="0" w:color="auto"/>
            <w:right w:val="none" w:sz="0" w:space="0" w:color="auto"/>
          </w:divBdr>
        </w:div>
        <w:div w:id="1756392530">
          <w:marLeft w:val="864"/>
          <w:marRight w:val="0"/>
          <w:marTop w:val="134"/>
          <w:marBottom w:val="0"/>
          <w:divBdr>
            <w:top w:val="none" w:sz="0" w:space="0" w:color="auto"/>
            <w:left w:val="none" w:sz="0" w:space="0" w:color="auto"/>
            <w:bottom w:val="none" w:sz="0" w:space="0" w:color="auto"/>
            <w:right w:val="none" w:sz="0" w:space="0" w:color="auto"/>
          </w:divBdr>
        </w:div>
        <w:div w:id="1756392533">
          <w:marLeft w:val="864"/>
          <w:marRight w:val="0"/>
          <w:marTop w:val="134"/>
          <w:marBottom w:val="0"/>
          <w:divBdr>
            <w:top w:val="none" w:sz="0" w:space="0" w:color="auto"/>
            <w:left w:val="none" w:sz="0" w:space="0" w:color="auto"/>
            <w:bottom w:val="none" w:sz="0" w:space="0" w:color="auto"/>
            <w:right w:val="none" w:sz="0" w:space="0" w:color="auto"/>
          </w:divBdr>
        </w:div>
      </w:divsChild>
    </w:div>
    <w:div w:id="1756392505">
      <w:marLeft w:val="0"/>
      <w:marRight w:val="0"/>
      <w:marTop w:val="0"/>
      <w:marBottom w:val="0"/>
      <w:divBdr>
        <w:top w:val="none" w:sz="0" w:space="0" w:color="auto"/>
        <w:left w:val="none" w:sz="0" w:space="0" w:color="auto"/>
        <w:bottom w:val="none" w:sz="0" w:space="0" w:color="auto"/>
        <w:right w:val="none" w:sz="0" w:space="0" w:color="auto"/>
      </w:divBdr>
    </w:div>
    <w:div w:id="1756392507">
      <w:marLeft w:val="0"/>
      <w:marRight w:val="0"/>
      <w:marTop w:val="0"/>
      <w:marBottom w:val="0"/>
      <w:divBdr>
        <w:top w:val="none" w:sz="0" w:space="0" w:color="auto"/>
        <w:left w:val="none" w:sz="0" w:space="0" w:color="auto"/>
        <w:bottom w:val="none" w:sz="0" w:space="0" w:color="auto"/>
        <w:right w:val="none" w:sz="0" w:space="0" w:color="auto"/>
      </w:divBdr>
    </w:div>
    <w:div w:id="1756392508">
      <w:marLeft w:val="0"/>
      <w:marRight w:val="0"/>
      <w:marTop w:val="0"/>
      <w:marBottom w:val="0"/>
      <w:divBdr>
        <w:top w:val="none" w:sz="0" w:space="0" w:color="auto"/>
        <w:left w:val="none" w:sz="0" w:space="0" w:color="auto"/>
        <w:bottom w:val="none" w:sz="0" w:space="0" w:color="auto"/>
        <w:right w:val="none" w:sz="0" w:space="0" w:color="auto"/>
      </w:divBdr>
    </w:div>
    <w:div w:id="1756392509">
      <w:marLeft w:val="0"/>
      <w:marRight w:val="0"/>
      <w:marTop w:val="0"/>
      <w:marBottom w:val="0"/>
      <w:divBdr>
        <w:top w:val="none" w:sz="0" w:space="0" w:color="auto"/>
        <w:left w:val="none" w:sz="0" w:space="0" w:color="auto"/>
        <w:bottom w:val="none" w:sz="0" w:space="0" w:color="auto"/>
        <w:right w:val="none" w:sz="0" w:space="0" w:color="auto"/>
      </w:divBdr>
    </w:div>
    <w:div w:id="1756392510">
      <w:marLeft w:val="0"/>
      <w:marRight w:val="0"/>
      <w:marTop w:val="0"/>
      <w:marBottom w:val="0"/>
      <w:divBdr>
        <w:top w:val="none" w:sz="0" w:space="0" w:color="auto"/>
        <w:left w:val="none" w:sz="0" w:space="0" w:color="auto"/>
        <w:bottom w:val="none" w:sz="0" w:space="0" w:color="auto"/>
        <w:right w:val="none" w:sz="0" w:space="0" w:color="auto"/>
      </w:divBdr>
    </w:div>
    <w:div w:id="1756392511">
      <w:marLeft w:val="0"/>
      <w:marRight w:val="0"/>
      <w:marTop w:val="0"/>
      <w:marBottom w:val="0"/>
      <w:divBdr>
        <w:top w:val="none" w:sz="0" w:space="0" w:color="auto"/>
        <w:left w:val="none" w:sz="0" w:space="0" w:color="auto"/>
        <w:bottom w:val="none" w:sz="0" w:space="0" w:color="auto"/>
        <w:right w:val="none" w:sz="0" w:space="0" w:color="auto"/>
      </w:divBdr>
    </w:div>
    <w:div w:id="1756392515">
      <w:marLeft w:val="0"/>
      <w:marRight w:val="0"/>
      <w:marTop w:val="0"/>
      <w:marBottom w:val="0"/>
      <w:divBdr>
        <w:top w:val="none" w:sz="0" w:space="0" w:color="auto"/>
        <w:left w:val="none" w:sz="0" w:space="0" w:color="auto"/>
        <w:bottom w:val="none" w:sz="0" w:space="0" w:color="auto"/>
        <w:right w:val="none" w:sz="0" w:space="0" w:color="auto"/>
      </w:divBdr>
    </w:div>
    <w:div w:id="1756392518">
      <w:marLeft w:val="0"/>
      <w:marRight w:val="0"/>
      <w:marTop w:val="0"/>
      <w:marBottom w:val="0"/>
      <w:divBdr>
        <w:top w:val="none" w:sz="0" w:space="0" w:color="auto"/>
        <w:left w:val="none" w:sz="0" w:space="0" w:color="auto"/>
        <w:bottom w:val="none" w:sz="0" w:space="0" w:color="auto"/>
        <w:right w:val="none" w:sz="0" w:space="0" w:color="auto"/>
      </w:divBdr>
    </w:div>
    <w:div w:id="1756392521">
      <w:marLeft w:val="0"/>
      <w:marRight w:val="0"/>
      <w:marTop w:val="0"/>
      <w:marBottom w:val="0"/>
      <w:divBdr>
        <w:top w:val="none" w:sz="0" w:space="0" w:color="auto"/>
        <w:left w:val="none" w:sz="0" w:space="0" w:color="auto"/>
        <w:bottom w:val="none" w:sz="0" w:space="0" w:color="auto"/>
        <w:right w:val="none" w:sz="0" w:space="0" w:color="auto"/>
      </w:divBdr>
    </w:div>
    <w:div w:id="1756392524">
      <w:marLeft w:val="0"/>
      <w:marRight w:val="0"/>
      <w:marTop w:val="0"/>
      <w:marBottom w:val="0"/>
      <w:divBdr>
        <w:top w:val="none" w:sz="0" w:space="0" w:color="auto"/>
        <w:left w:val="none" w:sz="0" w:space="0" w:color="auto"/>
        <w:bottom w:val="none" w:sz="0" w:space="0" w:color="auto"/>
        <w:right w:val="none" w:sz="0" w:space="0" w:color="auto"/>
      </w:divBdr>
      <w:divsChild>
        <w:div w:id="1756392512">
          <w:marLeft w:val="0"/>
          <w:marRight w:val="0"/>
          <w:marTop w:val="0"/>
          <w:marBottom w:val="0"/>
          <w:divBdr>
            <w:top w:val="none" w:sz="0" w:space="0" w:color="auto"/>
            <w:left w:val="none" w:sz="0" w:space="0" w:color="auto"/>
            <w:bottom w:val="none" w:sz="0" w:space="0" w:color="auto"/>
            <w:right w:val="none" w:sz="0" w:space="0" w:color="auto"/>
          </w:divBdr>
          <w:divsChild>
            <w:div w:id="1756392504">
              <w:marLeft w:val="0"/>
              <w:marRight w:val="0"/>
              <w:marTop w:val="0"/>
              <w:marBottom w:val="0"/>
              <w:divBdr>
                <w:top w:val="none" w:sz="0" w:space="0" w:color="auto"/>
                <w:left w:val="none" w:sz="0" w:space="0" w:color="auto"/>
                <w:bottom w:val="none" w:sz="0" w:space="0" w:color="auto"/>
                <w:right w:val="none" w:sz="0" w:space="0" w:color="auto"/>
              </w:divBdr>
            </w:div>
            <w:div w:id="1756392506">
              <w:marLeft w:val="0"/>
              <w:marRight w:val="0"/>
              <w:marTop w:val="0"/>
              <w:marBottom w:val="0"/>
              <w:divBdr>
                <w:top w:val="none" w:sz="0" w:space="0" w:color="auto"/>
                <w:left w:val="none" w:sz="0" w:space="0" w:color="auto"/>
                <w:bottom w:val="none" w:sz="0" w:space="0" w:color="auto"/>
                <w:right w:val="none" w:sz="0" w:space="0" w:color="auto"/>
              </w:divBdr>
            </w:div>
            <w:div w:id="1756392513">
              <w:marLeft w:val="0"/>
              <w:marRight w:val="0"/>
              <w:marTop w:val="0"/>
              <w:marBottom w:val="0"/>
              <w:divBdr>
                <w:top w:val="none" w:sz="0" w:space="0" w:color="auto"/>
                <w:left w:val="none" w:sz="0" w:space="0" w:color="auto"/>
                <w:bottom w:val="none" w:sz="0" w:space="0" w:color="auto"/>
                <w:right w:val="none" w:sz="0" w:space="0" w:color="auto"/>
              </w:divBdr>
            </w:div>
            <w:div w:id="1756392514">
              <w:marLeft w:val="0"/>
              <w:marRight w:val="0"/>
              <w:marTop w:val="0"/>
              <w:marBottom w:val="0"/>
              <w:divBdr>
                <w:top w:val="none" w:sz="0" w:space="0" w:color="auto"/>
                <w:left w:val="none" w:sz="0" w:space="0" w:color="auto"/>
                <w:bottom w:val="none" w:sz="0" w:space="0" w:color="auto"/>
                <w:right w:val="none" w:sz="0" w:space="0" w:color="auto"/>
              </w:divBdr>
            </w:div>
            <w:div w:id="1756392516">
              <w:marLeft w:val="0"/>
              <w:marRight w:val="0"/>
              <w:marTop w:val="0"/>
              <w:marBottom w:val="0"/>
              <w:divBdr>
                <w:top w:val="none" w:sz="0" w:space="0" w:color="auto"/>
                <w:left w:val="none" w:sz="0" w:space="0" w:color="auto"/>
                <w:bottom w:val="none" w:sz="0" w:space="0" w:color="auto"/>
                <w:right w:val="none" w:sz="0" w:space="0" w:color="auto"/>
              </w:divBdr>
            </w:div>
            <w:div w:id="1756392517">
              <w:marLeft w:val="0"/>
              <w:marRight w:val="0"/>
              <w:marTop w:val="0"/>
              <w:marBottom w:val="0"/>
              <w:divBdr>
                <w:top w:val="none" w:sz="0" w:space="0" w:color="auto"/>
                <w:left w:val="none" w:sz="0" w:space="0" w:color="auto"/>
                <w:bottom w:val="none" w:sz="0" w:space="0" w:color="auto"/>
                <w:right w:val="none" w:sz="0" w:space="0" w:color="auto"/>
              </w:divBdr>
            </w:div>
            <w:div w:id="1756392519">
              <w:marLeft w:val="0"/>
              <w:marRight w:val="0"/>
              <w:marTop w:val="0"/>
              <w:marBottom w:val="0"/>
              <w:divBdr>
                <w:top w:val="none" w:sz="0" w:space="0" w:color="auto"/>
                <w:left w:val="none" w:sz="0" w:space="0" w:color="auto"/>
                <w:bottom w:val="none" w:sz="0" w:space="0" w:color="auto"/>
                <w:right w:val="none" w:sz="0" w:space="0" w:color="auto"/>
              </w:divBdr>
            </w:div>
            <w:div w:id="1756392520">
              <w:marLeft w:val="0"/>
              <w:marRight w:val="0"/>
              <w:marTop w:val="0"/>
              <w:marBottom w:val="0"/>
              <w:divBdr>
                <w:top w:val="none" w:sz="0" w:space="0" w:color="auto"/>
                <w:left w:val="none" w:sz="0" w:space="0" w:color="auto"/>
                <w:bottom w:val="none" w:sz="0" w:space="0" w:color="auto"/>
                <w:right w:val="none" w:sz="0" w:space="0" w:color="auto"/>
              </w:divBdr>
            </w:div>
            <w:div w:id="1756392522">
              <w:marLeft w:val="0"/>
              <w:marRight w:val="0"/>
              <w:marTop w:val="0"/>
              <w:marBottom w:val="0"/>
              <w:divBdr>
                <w:top w:val="none" w:sz="0" w:space="0" w:color="auto"/>
                <w:left w:val="none" w:sz="0" w:space="0" w:color="auto"/>
                <w:bottom w:val="none" w:sz="0" w:space="0" w:color="auto"/>
                <w:right w:val="none" w:sz="0" w:space="0" w:color="auto"/>
              </w:divBdr>
            </w:div>
            <w:div w:id="175639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2525">
      <w:marLeft w:val="0"/>
      <w:marRight w:val="0"/>
      <w:marTop w:val="0"/>
      <w:marBottom w:val="0"/>
      <w:divBdr>
        <w:top w:val="none" w:sz="0" w:space="0" w:color="auto"/>
        <w:left w:val="none" w:sz="0" w:space="0" w:color="auto"/>
        <w:bottom w:val="none" w:sz="0" w:space="0" w:color="auto"/>
        <w:right w:val="none" w:sz="0" w:space="0" w:color="auto"/>
      </w:divBdr>
    </w:div>
    <w:div w:id="1756392526">
      <w:marLeft w:val="0"/>
      <w:marRight w:val="0"/>
      <w:marTop w:val="0"/>
      <w:marBottom w:val="0"/>
      <w:divBdr>
        <w:top w:val="none" w:sz="0" w:space="0" w:color="auto"/>
        <w:left w:val="none" w:sz="0" w:space="0" w:color="auto"/>
        <w:bottom w:val="none" w:sz="0" w:space="0" w:color="auto"/>
        <w:right w:val="none" w:sz="0" w:space="0" w:color="auto"/>
      </w:divBdr>
    </w:div>
    <w:div w:id="1756392528">
      <w:marLeft w:val="0"/>
      <w:marRight w:val="0"/>
      <w:marTop w:val="0"/>
      <w:marBottom w:val="0"/>
      <w:divBdr>
        <w:top w:val="none" w:sz="0" w:space="0" w:color="auto"/>
        <w:left w:val="none" w:sz="0" w:space="0" w:color="auto"/>
        <w:bottom w:val="none" w:sz="0" w:space="0" w:color="auto"/>
        <w:right w:val="none" w:sz="0" w:space="0" w:color="auto"/>
      </w:divBdr>
      <w:divsChild>
        <w:div w:id="1756392527">
          <w:marLeft w:val="1368"/>
          <w:marRight w:val="0"/>
          <w:marTop w:val="115"/>
          <w:marBottom w:val="0"/>
          <w:divBdr>
            <w:top w:val="none" w:sz="0" w:space="0" w:color="auto"/>
            <w:left w:val="none" w:sz="0" w:space="0" w:color="auto"/>
            <w:bottom w:val="none" w:sz="0" w:space="0" w:color="auto"/>
            <w:right w:val="none" w:sz="0" w:space="0" w:color="auto"/>
          </w:divBdr>
        </w:div>
        <w:div w:id="1756392529">
          <w:marLeft w:val="1368"/>
          <w:marRight w:val="0"/>
          <w:marTop w:val="115"/>
          <w:marBottom w:val="0"/>
          <w:divBdr>
            <w:top w:val="none" w:sz="0" w:space="0" w:color="auto"/>
            <w:left w:val="none" w:sz="0" w:space="0" w:color="auto"/>
            <w:bottom w:val="none" w:sz="0" w:space="0" w:color="auto"/>
            <w:right w:val="none" w:sz="0" w:space="0" w:color="auto"/>
          </w:divBdr>
        </w:div>
        <w:div w:id="1756392531">
          <w:marLeft w:val="1368"/>
          <w:marRight w:val="0"/>
          <w:marTop w:val="115"/>
          <w:marBottom w:val="0"/>
          <w:divBdr>
            <w:top w:val="none" w:sz="0" w:space="0" w:color="auto"/>
            <w:left w:val="none" w:sz="0" w:space="0" w:color="auto"/>
            <w:bottom w:val="none" w:sz="0" w:space="0" w:color="auto"/>
            <w:right w:val="none" w:sz="0" w:space="0" w:color="auto"/>
          </w:divBdr>
        </w:div>
        <w:div w:id="1756392532">
          <w:marLeft w:val="1368"/>
          <w:marRight w:val="0"/>
          <w:marTop w:val="115"/>
          <w:marBottom w:val="0"/>
          <w:divBdr>
            <w:top w:val="none" w:sz="0" w:space="0" w:color="auto"/>
            <w:left w:val="none" w:sz="0" w:space="0" w:color="auto"/>
            <w:bottom w:val="none" w:sz="0" w:space="0" w:color="auto"/>
            <w:right w:val="none" w:sz="0" w:space="0" w:color="auto"/>
          </w:divBdr>
        </w:div>
      </w:divsChild>
    </w:div>
    <w:div w:id="1756392534">
      <w:marLeft w:val="0"/>
      <w:marRight w:val="0"/>
      <w:marTop w:val="0"/>
      <w:marBottom w:val="0"/>
      <w:divBdr>
        <w:top w:val="none" w:sz="0" w:space="0" w:color="auto"/>
        <w:left w:val="none" w:sz="0" w:space="0" w:color="auto"/>
        <w:bottom w:val="none" w:sz="0" w:space="0" w:color="auto"/>
        <w:right w:val="none" w:sz="0" w:space="0" w:color="auto"/>
      </w:divBdr>
    </w:div>
    <w:div w:id="17563925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1610</Words>
  <Characters>8529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10119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McGuinnessC1</cp:lastModifiedBy>
  <cp:revision>9</cp:revision>
  <cp:lastPrinted>2017-10-30T12:05:00Z</cp:lastPrinted>
  <dcterms:created xsi:type="dcterms:W3CDTF">2017-11-28T10:18:00Z</dcterms:created>
  <dcterms:modified xsi:type="dcterms:W3CDTF">2017-11-30T13:44:00Z</dcterms:modified>
</cp:coreProperties>
</file>